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51A9" w:rsidRDefault="009951A9" w:rsidP="00D70296">
      <w:pPr>
        <w:spacing w:after="0" w:line="360" w:lineRule="auto"/>
        <w:jc w:val="center"/>
        <w:rPr>
          <w:rFonts w:asciiTheme="majorBidi" w:hAnsiTheme="majorBidi" w:cstheme="majorBidi"/>
          <w:b/>
          <w:bCs/>
          <w:sz w:val="32"/>
          <w:szCs w:val="32"/>
        </w:rPr>
      </w:pPr>
    </w:p>
    <w:p w:rsidR="009951A9" w:rsidRDefault="009951A9" w:rsidP="00D70296">
      <w:pPr>
        <w:spacing w:after="0" w:line="360" w:lineRule="auto"/>
        <w:jc w:val="center"/>
        <w:rPr>
          <w:rFonts w:asciiTheme="majorBidi" w:hAnsiTheme="majorBidi" w:cstheme="majorBidi"/>
          <w:b/>
          <w:bCs/>
          <w:sz w:val="32"/>
          <w:szCs w:val="32"/>
        </w:rPr>
      </w:pPr>
    </w:p>
    <w:p w:rsidR="000B6FFA" w:rsidRDefault="00D70296" w:rsidP="00D70296">
      <w:pPr>
        <w:spacing w:after="0" w:line="360" w:lineRule="auto"/>
        <w:jc w:val="center"/>
        <w:rPr>
          <w:rFonts w:asciiTheme="majorBidi" w:hAnsiTheme="majorBidi" w:cstheme="majorBidi"/>
          <w:b/>
          <w:bCs/>
          <w:sz w:val="32"/>
          <w:szCs w:val="32"/>
        </w:rPr>
      </w:pPr>
      <w:r w:rsidRPr="000B6FFA">
        <w:rPr>
          <w:rFonts w:asciiTheme="majorBidi" w:hAnsiTheme="majorBidi" w:cstheme="majorBidi"/>
          <w:b/>
          <w:bCs/>
          <w:sz w:val="32"/>
          <w:szCs w:val="32"/>
        </w:rPr>
        <w:t xml:space="preserve">PROPRIÉTÉS FONDAMONTALES DES MATÉRIAUX </w:t>
      </w:r>
    </w:p>
    <w:p w:rsidR="00664F95" w:rsidRPr="000B6FFA" w:rsidRDefault="000B6FFA" w:rsidP="00D70296">
      <w:pPr>
        <w:spacing w:after="0" w:line="360" w:lineRule="auto"/>
        <w:jc w:val="center"/>
        <w:rPr>
          <w:rFonts w:ascii="Times New Roman" w:hAnsi="Times New Roman" w:cs="Times New Roman"/>
          <w:b/>
          <w:sz w:val="32"/>
          <w:szCs w:val="32"/>
        </w:rPr>
      </w:pPr>
      <w:r>
        <w:rPr>
          <w:rFonts w:ascii="Times New Roman" w:hAnsi="Times New Roman" w:cs="Times New Roman"/>
          <w:b/>
          <w:sz w:val="32"/>
          <w:szCs w:val="32"/>
        </w:rPr>
        <w:t>Cu</w:t>
      </w:r>
      <w:r w:rsidR="00D70296" w:rsidRPr="000B6FFA">
        <w:rPr>
          <w:rFonts w:ascii="Times New Roman" w:hAnsi="Times New Roman" w:cs="Times New Roman"/>
          <w:b/>
          <w:sz w:val="32"/>
          <w:szCs w:val="32"/>
        </w:rPr>
        <w:t>(In,Ga)Se</w:t>
      </w:r>
      <w:r w:rsidR="00D70296" w:rsidRPr="000B6FFA">
        <w:rPr>
          <w:rFonts w:ascii="Times New Roman" w:hAnsi="Times New Roman" w:cs="Times New Roman"/>
          <w:b/>
          <w:sz w:val="32"/>
          <w:szCs w:val="32"/>
          <w:vertAlign w:val="subscript"/>
        </w:rPr>
        <w:t>2</w:t>
      </w:r>
    </w:p>
    <w:p w:rsidR="00D70296" w:rsidRDefault="00D70296" w:rsidP="00D70296">
      <w:pPr>
        <w:spacing w:line="360" w:lineRule="auto"/>
        <w:jc w:val="both"/>
        <w:rPr>
          <w:rStyle w:val="Hyperlink"/>
          <w:rFonts w:ascii="Times New Roman" w:hAnsi="Times New Roman"/>
          <w:b/>
          <w:color w:val="000000"/>
          <w:sz w:val="24"/>
          <w:szCs w:val="24"/>
        </w:rPr>
      </w:pPr>
    </w:p>
    <w:p w:rsidR="009951A9" w:rsidRPr="00D70296" w:rsidRDefault="009951A9" w:rsidP="00D70296">
      <w:pPr>
        <w:spacing w:line="360" w:lineRule="auto"/>
        <w:jc w:val="both"/>
        <w:rPr>
          <w:rStyle w:val="Hyperlink"/>
          <w:rFonts w:ascii="Times New Roman" w:hAnsi="Times New Roman"/>
          <w:b/>
          <w:color w:val="000000"/>
          <w:sz w:val="24"/>
          <w:szCs w:val="24"/>
        </w:rPr>
      </w:pPr>
    </w:p>
    <w:p w:rsidR="000B6FFA" w:rsidRDefault="00D70296" w:rsidP="000B6FFA">
      <w:pPr>
        <w:spacing w:line="360" w:lineRule="auto"/>
        <w:jc w:val="both"/>
        <w:rPr>
          <w:rFonts w:asciiTheme="majorBidi" w:hAnsiTheme="majorBidi" w:cstheme="majorBidi"/>
          <w:color w:val="000000" w:themeColor="text1"/>
          <w:sz w:val="24"/>
          <w:szCs w:val="24"/>
        </w:rPr>
      </w:pPr>
      <w:r w:rsidRPr="00D70296">
        <w:rPr>
          <w:rFonts w:asciiTheme="majorBidi" w:hAnsiTheme="majorBidi" w:cstheme="majorBidi"/>
          <w:b/>
          <w:bCs/>
          <w:sz w:val="24"/>
          <w:szCs w:val="24"/>
        </w:rPr>
        <w:t>INTRODUCTION</w:t>
      </w:r>
    </w:p>
    <w:p w:rsidR="00111D80" w:rsidRPr="000B6FFA" w:rsidRDefault="00756FC8" w:rsidP="009951A9">
      <w:pPr>
        <w:spacing w:before="120" w:after="0" w:line="360" w:lineRule="auto"/>
        <w:ind w:firstLine="567"/>
        <w:jc w:val="both"/>
        <w:rPr>
          <w:rFonts w:asciiTheme="majorBidi" w:hAnsiTheme="majorBidi" w:cstheme="majorBidi"/>
          <w:color w:val="000000" w:themeColor="text1"/>
          <w:sz w:val="24"/>
          <w:szCs w:val="24"/>
        </w:rPr>
      </w:pPr>
      <w:r w:rsidRPr="00816009">
        <w:rPr>
          <w:rFonts w:asciiTheme="majorBidi" w:hAnsiTheme="majorBidi" w:cstheme="majorBidi"/>
          <w:color w:val="000000" w:themeColor="text1"/>
          <w:sz w:val="24"/>
          <w:szCs w:val="24"/>
        </w:rPr>
        <w:t xml:space="preserve">Les recherches actuelles menées sur les composés </w:t>
      </w:r>
      <w:r w:rsidR="00664F95" w:rsidRPr="00816009">
        <w:rPr>
          <w:rFonts w:asciiTheme="majorBidi" w:hAnsiTheme="majorBidi" w:cstheme="majorBidi"/>
          <w:color w:val="000000" w:themeColor="text1"/>
          <w:sz w:val="24"/>
          <w:szCs w:val="24"/>
        </w:rPr>
        <w:t>Cu(</w:t>
      </w:r>
      <w:r w:rsidRPr="00816009">
        <w:rPr>
          <w:rFonts w:asciiTheme="majorBidi" w:hAnsiTheme="majorBidi" w:cstheme="majorBidi"/>
          <w:color w:val="000000" w:themeColor="text1"/>
          <w:sz w:val="24"/>
          <w:szCs w:val="24"/>
        </w:rPr>
        <w:t>In,Ga)(S,Se)</w:t>
      </w:r>
      <w:r w:rsidRPr="009951A9">
        <w:rPr>
          <w:rFonts w:asciiTheme="majorBidi" w:hAnsiTheme="majorBidi" w:cstheme="majorBidi"/>
          <w:color w:val="000000" w:themeColor="text1"/>
          <w:sz w:val="24"/>
          <w:szCs w:val="24"/>
          <w:vertAlign w:val="subscript"/>
        </w:rPr>
        <w:t>2</w:t>
      </w:r>
      <w:r w:rsidRPr="00816009">
        <w:rPr>
          <w:rFonts w:asciiTheme="majorBidi" w:hAnsiTheme="majorBidi" w:cstheme="majorBidi"/>
          <w:color w:val="000000" w:themeColor="text1"/>
          <w:sz w:val="24"/>
          <w:szCs w:val="24"/>
        </w:rPr>
        <w:t xml:space="preserve"> révèlent que le matériau Cu(In,Ga)Se</w:t>
      </w:r>
      <w:r w:rsidRPr="009951A9">
        <w:rPr>
          <w:rFonts w:asciiTheme="majorBidi" w:hAnsiTheme="majorBidi" w:cstheme="majorBidi"/>
          <w:color w:val="000000" w:themeColor="text1"/>
          <w:sz w:val="24"/>
          <w:szCs w:val="24"/>
          <w:vertAlign w:val="subscript"/>
        </w:rPr>
        <w:t>2</w:t>
      </w:r>
      <w:r w:rsidRPr="00816009">
        <w:rPr>
          <w:rFonts w:asciiTheme="majorBidi" w:hAnsiTheme="majorBidi" w:cstheme="majorBidi"/>
          <w:color w:val="000000" w:themeColor="text1"/>
          <w:sz w:val="24"/>
          <w:szCs w:val="24"/>
        </w:rPr>
        <w:t xml:space="preserve"> </w:t>
      </w:r>
      <w:r w:rsidRPr="00816009">
        <w:rPr>
          <w:rFonts w:ascii="Times New Roman" w:hAnsi="Times New Roman"/>
          <w:color w:val="000000" w:themeColor="text1"/>
          <w:sz w:val="24"/>
          <w:szCs w:val="24"/>
        </w:rPr>
        <w:t>(CIGS)</w:t>
      </w:r>
      <w:r w:rsidRPr="00816009">
        <w:rPr>
          <w:rFonts w:asciiTheme="majorBidi" w:hAnsiTheme="majorBidi" w:cstheme="majorBidi"/>
          <w:color w:val="000000" w:themeColor="text1"/>
          <w:sz w:val="24"/>
          <w:szCs w:val="24"/>
        </w:rPr>
        <w:t xml:space="preserve"> est le plus émergeant. En couches minces polycristallines, il est pratiquement incontournable en raison des rendements élevés atteints en laboratoire et de la stabilité remarquable qu’il assure dans le temps. </w:t>
      </w:r>
      <w:r w:rsidR="00111D80" w:rsidRPr="00816009">
        <w:rPr>
          <w:rFonts w:ascii="Times New Roman" w:hAnsi="Times New Roman"/>
          <w:color w:val="000000" w:themeColor="text1"/>
          <w:sz w:val="24"/>
          <w:szCs w:val="24"/>
        </w:rPr>
        <w:t xml:space="preserve">Les matériaux </w:t>
      </w:r>
      <w:r w:rsidR="00664F95" w:rsidRPr="00816009">
        <w:rPr>
          <w:rFonts w:ascii="Times New Roman" w:hAnsi="Times New Roman"/>
          <w:color w:val="000000" w:themeColor="text1"/>
          <w:sz w:val="24"/>
          <w:szCs w:val="24"/>
        </w:rPr>
        <w:t>Cu (</w:t>
      </w:r>
      <w:r w:rsidR="00111D80" w:rsidRPr="00816009">
        <w:rPr>
          <w:rFonts w:ascii="Times New Roman" w:hAnsi="Times New Roman"/>
          <w:color w:val="000000" w:themeColor="text1"/>
          <w:sz w:val="24"/>
          <w:szCs w:val="24"/>
        </w:rPr>
        <w:t>In,Ga)Se</w:t>
      </w:r>
      <w:r w:rsidR="00111D80" w:rsidRPr="00816009">
        <w:rPr>
          <w:rFonts w:ascii="Times New Roman" w:hAnsi="Times New Roman"/>
          <w:color w:val="000000" w:themeColor="text1"/>
          <w:sz w:val="24"/>
          <w:szCs w:val="24"/>
          <w:vertAlign w:val="subscript"/>
        </w:rPr>
        <w:t>2</w:t>
      </w:r>
      <w:r w:rsidR="00111D80" w:rsidRPr="00816009">
        <w:rPr>
          <w:rFonts w:ascii="Times New Roman" w:hAnsi="Times New Roman"/>
          <w:color w:val="000000" w:themeColor="text1"/>
          <w:sz w:val="24"/>
          <w:szCs w:val="24"/>
        </w:rPr>
        <w:t xml:space="preserve">  appartiennent à la filière de matériaux chalcopyrites. Cette nomination "chalcopyrite" a été attribuée pour la première fois en 1725 par les chercheurs d’or au CuFeS</w:t>
      </w:r>
      <w:r w:rsidR="00111D80" w:rsidRPr="00816009">
        <w:rPr>
          <w:rFonts w:ascii="Times New Roman" w:hAnsi="Times New Roman"/>
          <w:color w:val="000000" w:themeColor="text1"/>
          <w:sz w:val="24"/>
          <w:szCs w:val="24"/>
          <w:vertAlign w:val="subscript"/>
        </w:rPr>
        <w:t>2</w:t>
      </w:r>
      <w:r w:rsidR="00111D80" w:rsidRPr="00816009">
        <w:rPr>
          <w:rFonts w:ascii="Times New Roman" w:hAnsi="Times New Roman"/>
          <w:color w:val="000000" w:themeColor="text1"/>
          <w:sz w:val="24"/>
          <w:szCs w:val="24"/>
        </w:rPr>
        <w:t>. Un travail fondamental au sujet de la croissance et de la caractérisation structurale des composés chalcopyrites I-III-VI</w:t>
      </w:r>
      <w:r w:rsidR="00111D80" w:rsidRPr="00816009">
        <w:rPr>
          <w:rFonts w:ascii="Times New Roman" w:hAnsi="Times New Roman"/>
          <w:color w:val="000000" w:themeColor="text1"/>
          <w:sz w:val="24"/>
          <w:szCs w:val="24"/>
          <w:vertAlign w:val="subscript"/>
        </w:rPr>
        <w:t>2</w:t>
      </w:r>
      <w:r w:rsidR="00111D80" w:rsidRPr="00816009">
        <w:rPr>
          <w:rFonts w:ascii="Times New Roman" w:hAnsi="Times New Roman"/>
          <w:color w:val="000000" w:themeColor="text1"/>
          <w:sz w:val="24"/>
          <w:szCs w:val="24"/>
        </w:rPr>
        <w:t xml:space="preserve"> a été </w:t>
      </w:r>
      <w:r w:rsidR="00723A0D">
        <w:rPr>
          <w:rFonts w:ascii="Times New Roman" w:hAnsi="Times New Roman"/>
          <w:color w:val="000000" w:themeColor="text1"/>
          <w:sz w:val="24"/>
          <w:szCs w:val="24"/>
        </w:rPr>
        <w:t>édité par Hahn et al. en 1953 [20</w:t>
      </w:r>
      <w:r w:rsidR="00111D80" w:rsidRPr="00816009">
        <w:rPr>
          <w:rFonts w:ascii="Times New Roman" w:hAnsi="Times New Roman"/>
          <w:color w:val="000000" w:themeColor="text1"/>
          <w:sz w:val="24"/>
          <w:szCs w:val="24"/>
        </w:rPr>
        <w:t>]. Le travail postérieur sur les chalcopyrites a été la plupart du temps motivé par des applications photoélectriques, des applications en optique non linéaire e</w:t>
      </w:r>
      <w:r w:rsidR="00723A0D">
        <w:rPr>
          <w:rFonts w:ascii="Times New Roman" w:hAnsi="Times New Roman"/>
          <w:color w:val="000000" w:themeColor="text1"/>
          <w:sz w:val="24"/>
          <w:szCs w:val="24"/>
        </w:rPr>
        <w:t>t en émission dans le visible [21,22</w:t>
      </w:r>
      <w:r w:rsidR="00111D80" w:rsidRPr="00816009">
        <w:rPr>
          <w:rFonts w:ascii="Times New Roman" w:hAnsi="Times New Roman"/>
          <w:color w:val="000000" w:themeColor="text1"/>
          <w:sz w:val="24"/>
          <w:szCs w:val="24"/>
        </w:rPr>
        <w:t>].</w:t>
      </w:r>
    </w:p>
    <w:p w:rsidR="00111D80" w:rsidRPr="00816009" w:rsidRDefault="00111D80" w:rsidP="000B6FFA">
      <w:pPr>
        <w:spacing w:before="120" w:after="0" w:line="360" w:lineRule="auto"/>
        <w:ind w:firstLine="567"/>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 xml:space="preserve">Le premier matériau de cette filière est le </w:t>
      </w:r>
      <w:r w:rsidRPr="00816009">
        <w:rPr>
          <w:rFonts w:ascii="Times New Roman" w:hAnsi="Times New Roman"/>
          <w:iCs/>
          <w:color w:val="000000" w:themeColor="text1"/>
          <w:sz w:val="24"/>
          <w:szCs w:val="24"/>
        </w:rPr>
        <w:t>CuInSe</w:t>
      </w:r>
      <w:r w:rsidRPr="00816009">
        <w:rPr>
          <w:rFonts w:ascii="Times New Roman" w:hAnsi="Times New Roman"/>
          <w:iCs/>
          <w:color w:val="000000" w:themeColor="text1"/>
          <w:sz w:val="24"/>
          <w:szCs w:val="24"/>
          <w:vertAlign w:val="subscript"/>
        </w:rPr>
        <w:t>2</w:t>
      </w:r>
      <w:r w:rsidRPr="00816009">
        <w:rPr>
          <w:rFonts w:ascii="Times New Roman" w:hAnsi="Times New Roman"/>
          <w:color w:val="000000" w:themeColor="text1"/>
          <w:sz w:val="24"/>
          <w:szCs w:val="24"/>
        </w:rPr>
        <w:t>. Il a été synthétisé pour la p</w:t>
      </w:r>
      <w:r w:rsidR="00723A0D">
        <w:rPr>
          <w:rFonts w:ascii="Times New Roman" w:hAnsi="Times New Roman"/>
          <w:color w:val="000000" w:themeColor="text1"/>
          <w:sz w:val="24"/>
          <w:szCs w:val="24"/>
        </w:rPr>
        <w:t>remière fois en 1953 par Hahn [20</w:t>
      </w:r>
      <w:r w:rsidRPr="00816009">
        <w:rPr>
          <w:rFonts w:ascii="Times New Roman" w:hAnsi="Times New Roman"/>
          <w:color w:val="000000" w:themeColor="text1"/>
          <w:sz w:val="24"/>
          <w:szCs w:val="24"/>
        </w:rPr>
        <w:t>]. Ce n’est qu’en 1974 qu’il a été proposé pour les</w:t>
      </w:r>
      <w:r w:rsidR="00723A0D">
        <w:rPr>
          <w:rFonts w:ascii="Times New Roman" w:hAnsi="Times New Roman"/>
          <w:color w:val="000000" w:themeColor="text1"/>
          <w:sz w:val="24"/>
          <w:szCs w:val="24"/>
        </w:rPr>
        <w:t xml:space="preserve"> applications photovoltaïques [23</w:t>
      </w:r>
      <w:r w:rsidRPr="00816009">
        <w:rPr>
          <w:rFonts w:ascii="Times New Roman" w:hAnsi="Times New Roman"/>
          <w:color w:val="000000" w:themeColor="text1"/>
          <w:sz w:val="24"/>
          <w:szCs w:val="24"/>
        </w:rPr>
        <w:t>]. C’est dans ces mêmes années 70, qu’un premier examen complet sur ces composés a été donné par Shay et Werni</w:t>
      </w:r>
      <w:r w:rsidR="00723A0D">
        <w:rPr>
          <w:rFonts w:ascii="Times New Roman" w:hAnsi="Times New Roman"/>
          <w:color w:val="000000" w:themeColor="text1"/>
          <w:sz w:val="24"/>
          <w:szCs w:val="24"/>
        </w:rPr>
        <w:t>ck [24</w:t>
      </w:r>
      <w:r w:rsidRPr="00816009">
        <w:rPr>
          <w:rFonts w:ascii="Times New Roman" w:hAnsi="Times New Roman"/>
          <w:color w:val="000000" w:themeColor="text1"/>
          <w:sz w:val="24"/>
          <w:szCs w:val="24"/>
        </w:rPr>
        <w:t>]. Plus tard, Pamplin a édité plusieurs revues au sujet de la thermodynam</w:t>
      </w:r>
      <w:r w:rsidR="00723A0D">
        <w:rPr>
          <w:rFonts w:ascii="Times New Roman" w:hAnsi="Times New Roman"/>
          <w:color w:val="000000" w:themeColor="text1"/>
          <w:sz w:val="24"/>
          <w:szCs w:val="24"/>
        </w:rPr>
        <w:t>ique des changements de phase [25,26</w:t>
      </w:r>
      <w:r w:rsidRPr="00816009">
        <w:rPr>
          <w:rFonts w:ascii="Times New Roman" w:hAnsi="Times New Roman"/>
          <w:color w:val="000000" w:themeColor="text1"/>
          <w:sz w:val="24"/>
          <w:szCs w:val="24"/>
        </w:rPr>
        <w:t>]. Ces travaux étaient presque entièrement consacrés aux monocristaux. Il a été élaboré sous forme de couches minces poly-cristallines comme couche active en 1983. Les premiers rendements ont été de l’ordre de 10% enregistrés par la société Boeing Corp. en utilisant le procédé de la co</w:t>
      </w:r>
      <w:r w:rsidR="00723A0D">
        <w:rPr>
          <w:rFonts w:ascii="Times New Roman" w:hAnsi="Times New Roman"/>
          <w:color w:val="000000" w:themeColor="text1"/>
          <w:sz w:val="24"/>
          <w:szCs w:val="24"/>
        </w:rPr>
        <w:t>-évaporation à trois creusets [27</w:t>
      </w:r>
      <w:r w:rsidRPr="00816009">
        <w:rPr>
          <w:rFonts w:ascii="Times New Roman" w:hAnsi="Times New Roman"/>
          <w:color w:val="000000" w:themeColor="text1"/>
          <w:sz w:val="24"/>
          <w:szCs w:val="24"/>
        </w:rPr>
        <w:t xml:space="preserve">]. En 1987, la société </w:t>
      </w:r>
      <w:r w:rsidRPr="00816009">
        <w:rPr>
          <w:rFonts w:ascii="Times New Roman" w:hAnsi="Times New Roman"/>
          <w:i/>
          <w:color w:val="000000" w:themeColor="text1"/>
          <w:sz w:val="24"/>
          <w:szCs w:val="24"/>
        </w:rPr>
        <w:t>Arco Solar</w:t>
      </w:r>
      <w:r w:rsidRPr="00816009">
        <w:rPr>
          <w:rFonts w:ascii="Times New Roman" w:hAnsi="Times New Roman"/>
          <w:color w:val="000000" w:themeColor="text1"/>
          <w:sz w:val="24"/>
          <w:szCs w:val="24"/>
        </w:rPr>
        <w:t xml:space="preserve"> </w:t>
      </w:r>
      <w:r w:rsidR="00723A0D">
        <w:rPr>
          <w:rFonts w:ascii="Times New Roman" w:hAnsi="Times New Roman"/>
          <w:color w:val="000000" w:themeColor="text1"/>
          <w:sz w:val="24"/>
          <w:szCs w:val="24"/>
        </w:rPr>
        <w:t>a donné un rendement de 10.1% [28</w:t>
      </w:r>
      <w:r w:rsidRPr="00816009">
        <w:rPr>
          <w:rFonts w:ascii="Times New Roman" w:hAnsi="Times New Roman"/>
          <w:color w:val="000000" w:themeColor="text1"/>
          <w:sz w:val="24"/>
          <w:szCs w:val="24"/>
        </w:rPr>
        <w:t>]. Ce n’est qu’à partir de 1990 que la substitution du Gallium par l’Indium a été réalisée, pour former les composés quaternaires CuIn</w:t>
      </w:r>
      <w:r w:rsidRPr="00816009">
        <w:rPr>
          <w:rFonts w:ascii="Times New Roman" w:hAnsi="Times New Roman"/>
          <w:color w:val="000000" w:themeColor="text1"/>
          <w:sz w:val="24"/>
          <w:szCs w:val="24"/>
          <w:vertAlign w:val="subscript"/>
        </w:rPr>
        <w:t>1-x</w:t>
      </w:r>
      <w:r w:rsidRPr="00816009">
        <w:rPr>
          <w:rFonts w:ascii="Times New Roman" w:hAnsi="Times New Roman"/>
          <w:color w:val="000000" w:themeColor="text1"/>
          <w:sz w:val="24"/>
          <w:szCs w:val="24"/>
        </w:rPr>
        <w:t>Ga</w:t>
      </w:r>
      <w:r w:rsidRPr="00816009">
        <w:rPr>
          <w:rFonts w:ascii="Times New Roman" w:hAnsi="Times New Roman"/>
          <w:color w:val="000000" w:themeColor="text1"/>
          <w:sz w:val="24"/>
          <w:szCs w:val="24"/>
          <w:vertAlign w:val="subscript"/>
        </w:rPr>
        <w:t>x</w:t>
      </w:r>
      <w:r w:rsidRPr="00816009">
        <w:rPr>
          <w:rFonts w:ascii="Times New Roman" w:hAnsi="Times New Roman"/>
          <w:color w:val="000000" w:themeColor="text1"/>
          <w:sz w:val="24"/>
          <w:szCs w:val="24"/>
        </w:rPr>
        <w:t>Se</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(CIGS) dans le but d’améliorer les rendements de conversion photovoltaïque déjà obtenus. Il a fallu presque dix ans pour que ce résultat soit concrétisé dans la production industrielle des modules solaires. L’année 1998 marque la date du premier module solaire industrialisé à base de </w:t>
      </w:r>
      <w:r w:rsidR="00664F95" w:rsidRPr="00816009">
        <w:rPr>
          <w:rFonts w:ascii="Times New Roman" w:hAnsi="Times New Roman"/>
          <w:iCs/>
          <w:color w:val="000000" w:themeColor="text1"/>
          <w:sz w:val="24"/>
          <w:szCs w:val="24"/>
        </w:rPr>
        <w:t>Cu (</w:t>
      </w:r>
      <w:r w:rsidRPr="00816009">
        <w:rPr>
          <w:rFonts w:ascii="Times New Roman" w:hAnsi="Times New Roman"/>
          <w:iCs/>
          <w:color w:val="000000" w:themeColor="text1"/>
          <w:sz w:val="24"/>
          <w:szCs w:val="24"/>
        </w:rPr>
        <w:t>In,Ga)Se</w:t>
      </w:r>
      <w:r w:rsidRPr="00816009">
        <w:rPr>
          <w:rFonts w:ascii="Times New Roman" w:hAnsi="Times New Roman"/>
          <w:iCs/>
          <w:color w:val="000000" w:themeColor="text1"/>
          <w:sz w:val="24"/>
          <w:szCs w:val="24"/>
          <w:vertAlign w:val="subscript"/>
        </w:rPr>
        <w:t>2</w:t>
      </w:r>
      <w:r w:rsidRPr="00816009">
        <w:rPr>
          <w:rFonts w:ascii="Times New Roman" w:hAnsi="Times New Roman"/>
          <w:color w:val="000000" w:themeColor="text1"/>
          <w:sz w:val="24"/>
          <w:szCs w:val="24"/>
          <w:vertAlign w:val="subscript"/>
        </w:rPr>
        <w:t xml:space="preserve"> </w:t>
      </w:r>
      <w:r w:rsidR="00723A0D">
        <w:rPr>
          <w:rFonts w:ascii="Times New Roman" w:hAnsi="Times New Roman"/>
          <w:color w:val="000000" w:themeColor="text1"/>
          <w:sz w:val="24"/>
          <w:szCs w:val="24"/>
        </w:rPr>
        <w:t>[29</w:t>
      </w:r>
      <w:r w:rsidRPr="00816009">
        <w:rPr>
          <w:rFonts w:ascii="Times New Roman" w:hAnsi="Times New Roman"/>
          <w:color w:val="000000" w:themeColor="text1"/>
          <w:sz w:val="24"/>
          <w:szCs w:val="24"/>
        </w:rPr>
        <w:t xml:space="preserve">]. </w:t>
      </w:r>
    </w:p>
    <w:p w:rsidR="00111D80" w:rsidRPr="004F4FD6" w:rsidRDefault="000F6937" w:rsidP="000F6937">
      <w:pPr>
        <w:spacing w:before="240" w:after="0" w:line="360" w:lineRule="auto"/>
        <w:jc w:val="both"/>
        <w:rPr>
          <w:rFonts w:ascii="Times New Roman" w:hAnsi="Times New Roman" w:cs="Times New Roman"/>
          <w:b/>
          <w:color w:val="000000" w:themeColor="text1"/>
          <w:sz w:val="24"/>
          <w:szCs w:val="24"/>
        </w:rPr>
      </w:pPr>
      <w:r w:rsidRPr="00816009">
        <w:rPr>
          <w:rFonts w:ascii="Times New Roman" w:hAnsi="Times New Roman" w:cs="Times New Roman"/>
          <w:b/>
          <w:color w:val="000000" w:themeColor="text1"/>
          <w:sz w:val="24"/>
          <w:szCs w:val="24"/>
        </w:rPr>
        <w:lastRenderedPageBreak/>
        <w:t>I</w:t>
      </w:r>
      <w:r w:rsidR="00111D80" w:rsidRPr="00816009">
        <w:rPr>
          <w:rFonts w:ascii="Times New Roman" w:hAnsi="Times New Roman" w:cs="Times New Roman"/>
          <w:b/>
          <w:color w:val="000000" w:themeColor="text1"/>
          <w:sz w:val="24"/>
          <w:szCs w:val="24"/>
        </w:rPr>
        <w:t>I.</w:t>
      </w:r>
      <w:r w:rsidR="00D2168B">
        <w:rPr>
          <w:rFonts w:ascii="Times New Roman" w:hAnsi="Times New Roman" w:cs="Times New Roman"/>
          <w:b/>
          <w:color w:val="000000" w:themeColor="text1"/>
          <w:sz w:val="24"/>
          <w:szCs w:val="24"/>
        </w:rPr>
        <w:t>1.</w:t>
      </w:r>
      <w:r w:rsidR="004F4FD6">
        <w:rPr>
          <w:rFonts w:ascii="Times New Roman" w:hAnsi="Times New Roman" w:cs="Times New Roman"/>
          <w:b/>
          <w:color w:val="000000" w:themeColor="text1"/>
          <w:sz w:val="24"/>
          <w:szCs w:val="24"/>
        </w:rPr>
        <w:t xml:space="preserve"> </w:t>
      </w:r>
      <w:r w:rsidR="004F4FD6" w:rsidRPr="004F4FD6">
        <w:rPr>
          <w:rFonts w:asciiTheme="majorBidi" w:hAnsiTheme="majorBidi" w:cstheme="majorBidi"/>
          <w:b/>
          <w:bCs/>
          <w:sz w:val="24"/>
          <w:szCs w:val="24"/>
        </w:rPr>
        <w:t>PROPRIÉTÉS FONDAMONTALES</w:t>
      </w:r>
    </w:p>
    <w:p w:rsidR="00111D80" w:rsidRPr="00816009" w:rsidRDefault="00363298" w:rsidP="000B6FFA">
      <w:pPr>
        <w:spacing w:before="120" w:after="0" w:line="360" w:lineRule="auto"/>
        <w:ind w:firstLine="567"/>
        <w:jc w:val="both"/>
        <w:rPr>
          <w:rFonts w:ascii="Times New Roman" w:hAnsi="Times New Roman"/>
          <w:color w:val="000000" w:themeColor="text1"/>
          <w:sz w:val="24"/>
          <w:szCs w:val="24"/>
        </w:rPr>
      </w:pPr>
      <w:r w:rsidRPr="004F4FD6">
        <w:rPr>
          <w:rFonts w:ascii="Times New Roman" w:hAnsi="Times New Roman"/>
          <w:color w:val="000000" w:themeColor="text1"/>
          <w:sz w:val="24"/>
          <w:szCs w:val="24"/>
        </w:rPr>
        <w:t xml:space="preserve">Pour étudier </w:t>
      </w:r>
      <w:r w:rsidR="00664F95" w:rsidRPr="004F4FD6">
        <w:rPr>
          <w:rFonts w:ascii="Times New Roman" w:hAnsi="Times New Roman"/>
          <w:color w:val="000000" w:themeColor="text1"/>
          <w:sz w:val="24"/>
          <w:szCs w:val="24"/>
        </w:rPr>
        <w:t>les matériaux</w:t>
      </w:r>
      <w:r w:rsidR="00111D80" w:rsidRPr="004F4FD6">
        <w:rPr>
          <w:rFonts w:ascii="Times New Roman" w:hAnsi="Times New Roman"/>
          <w:color w:val="000000" w:themeColor="text1"/>
          <w:sz w:val="24"/>
          <w:szCs w:val="24"/>
        </w:rPr>
        <w:t xml:space="preserve"> CuInSe</w:t>
      </w:r>
      <w:r w:rsidR="00111D80" w:rsidRPr="004F4FD6">
        <w:rPr>
          <w:rFonts w:ascii="Times New Roman" w:hAnsi="Times New Roman"/>
          <w:color w:val="000000" w:themeColor="text1"/>
          <w:sz w:val="24"/>
          <w:szCs w:val="24"/>
          <w:vertAlign w:val="subscript"/>
        </w:rPr>
        <w:t>2</w:t>
      </w:r>
      <w:r w:rsidR="00111D80" w:rsidRPr="004F4FD6">
        <w:rPr>
          <w:rFonts w:ascii="Times New Roman" w:hAnsi="Times New Roman"/>
          <w:color w:val="000000" w:themeColor="text1"/>
          <w:sz w:val="24"/>
          <w:szCs w:val="24"/>
        </w:rPr>
        <w:t xml:space="preserve"> et par conséquent</w:t>
      </w:r>
      <w:r w:rsidR="00111D80" w:rsidRPr="00816009">
        <w:rPr>
          <w:rFonts w:ascii="Times New Roman" w:hAnsi="Times New Roman"/>
          <w:color w:val="000000" w:themeColor="text1"/>
          <w:sz w:val="24"/>
          <w:szCs w:val="24"/>
        </w:rPr>
        <w:t xml:space="preserve"> </w:t>
      </w:r>
      <w:r w:rsidRPr="00816009">
        <w:rPr>
          <w:rFonts w:ascii="Times New Roman" w:hAnsi="Times New Roman"/>
          <w:color w:val="000000" w:themeColor="text1"/>
          <w:sz w:val="24"/>
          <w:szCs w:val="24"/>
        </w:rPr>
        <w:t>l</w:t>
      </w:r>
      <w:r w:rsidR="00111D80" w:rsidRPr="00816009">
        <w:rPr>
          <w:rFonts w:ascii="Times New Roman" w:hAnsi="Times New Roman"/>
          <w:color w:val="000000" w:themeColor="text1"/>
          <w:sz w:val="24"/>
          <w:szCs w:val="24"/>
        </w:rPr>
        <w:t>es composés CuIn</w:t>
      </w:r>
      <w:r w:rsidR="00111D80" w:rsidRPr="00816009">
        <w:rPr>
          <w:rFonts w:ascii="Times New Roman" w:hAnsi="Times New Roman"/>
          <w:color w:val="000000" w:themeColor="text1"/>
          <w:sz w:val="24"/>
          <w:szCs w:val="24"/>
          <w:vertAlign w:val="subscript"/>
        </w:rPr>
        <w:t>1-x</w:t>
      </w:r>
      <w:r w:rsidR="00111D80" w:rsidRPr="00816009">
        <w:rPr>
          <w:rFonts w:ascii="Times New Roman" w:hAnsi="Times New Roman"/>
          <w:color w:val="000000" w:themeColor="text1"/>
          <w:sz w:val="24"/>
          <w:szCs w:val="24"/>
        </w:rPr>
        <w:t>Ga</w:t>
      </w:r>
      <w:r w:rsidR="00111D80" w:rsidRPr="00816009">
        <w:rPr>
          <w:rFonts w:ascii="Times New Roman" w:hAnsi="Times New Roman"/>
          <w:color w:val="000000" w:themeColor="text1"/>
          <w:sz w:val="24"/>
          <w:szCs w:val="24"/>
          <w:vertAlign w:val="subscript"/>
        </w:rPr>
        <w:t>x</w:t>
      </w:r>
      <w:r w:rsidR="00111D80" w:rsidRPr="00816009">
        <w:rPr>
          <w:rFonts w:ascii="Times New Roman" w:hAnsi="Times New Roman"/>
          <w:color w:val="000000" w:themeColor="text1"/>
          <w:sz w:val="24"/>
          <w:szCs w:val="24"/>
        </w:rPr>
        <w:t>Se</w:t>
      </w:r>
      <w:r w:rsidR="00111D80" w:rsidRPr="00816009">
        <w:rPr>
          <w:rFonts w:ascii="Times New Roman" w:hAnsi="Times New Roman"/>
          <w:color w:val="000000" w:themeColor="text1"/>
          <w:sz w:val="24"/>
          <w:szCs w:val="24"/>
          <w:vertAlign w:val="subscript"/>
        </w:rPr>
        <w:t>2</w:t>
      </w:r>
      <w:r w:rsidR="00111D80" w:rsidRPr="00816009">
        <w:rPr>
          <w:rFonts w:ascii="Times New Roman" w:hAnsi="Times New Roman"/>
          <w:color w:val="000000" w:themeColor="text1"/>
          <w:sz w:val="24"/>
          <w:szCs w:val="24"/>
        </w:rPr>
        <w:t xml:space="preserve"> </w:t>
      </w:r>
      <w:r w:rsidRPr="00816009">
        <w:rPr>
          <w:rFonts w:ascii="Times New Roman" w:hAnsi="Times New Roman"/>
          <w:color w:val="000000" w:themeColor="text1"/>
          <w:sz w:val="24"/>
          <w:szCs w:val="24"/>
        </w:rPr>
        <w:t>i</w:t>
      </w:r>
      <w:r w:rsidR="00111D80" w:rsidRPr="00816009">
        <w:rPr>
          <w:rFonts w:ascii="Times New Roman" w:hAnsi="Times New Roman"/>
          <w:color w:val="000000" w:themeColor="text1"/>
          <w:sz w:val="24"/>
          <w:szCs w:val="24"/>
        </w:rPr>
        <w:t xml:space="preserve">l faut savoir que </w:t>
      </w:r>
      <w:r w:rsidRPr="00816009">
        <w:rPr>
          <w:rFonts w:ascii="Times New Roman" w:hAnsi="Times New Roman"/>
          <w:color w:val="000000" w:themeColor="text1"/>
          <w:sz w:val="24"/>
          <w:szCs w:val="24"/>
        </w:rPr>
        <w:t>la substitution du Ga à la place de l’In pour former les composés quaternaires</w:t>
      </w:r>
      <w:r>
        <w:rPr>
          <w:rFonts w:ascii="Times New Roman" w:hAnsi="Times New Roman"/>
          <w:sz w:val="24"/>
          <w:szCs w:val="24"/>
        </w:rPr>
        <w:t xml:space="preserve"> CuIn</w:t>
      </w:r>
      <w:r>
        <w:rPr>
          <w:rFonts w:ascii="Times New Roman" w:hAnsi="Times New Roman"/>
          <w:sz w:val="24"/>
          <w:szCs w:val="24"/>
          <w:vertAlign w:val="subscript"/>
        </w:rPr>
        <w:t>1-x</w:t>
      </w:r>
      <w:r>
        <w:rPr>
          <w:rFonts w:ascii="Times New Roman" w:hAnsi="Times New Roman"/>
          <w:sz w:val="24"/>
          <w:szCs w:val="24"/>
        </w:rPr>
        <w:t>Ga</w:t>
      </w:r>
      <w:r>
        <w:rPr>
          <w:rFonts w:ascii="Times New Roman" w:hAnsi="Times New Roman"/>
          <w:sz w:val="24"/>
          <w:szCs w:val="24"/>
          <w:vertAlign w:val="subscript"/>
        </w:rPr>
        <w:t>x</w:t>
      </w:r>
      <w:r>
        <w:rPr>
          <w:rFonts w:ascii="Times New Roman" w:hAnsi="Times New Roman"/>
          <w:sz w:val="24"/>
          <w:szCs w:val="24"/>
        </w:rPr>
        <w:t>Se</w:t>
      </w:r>
      <w:r>
        <w:rPr>
          <w:rFonts w:ascii="Times New Roman" w:hAnsi="Times New Roman"/>
          <w:sz w:val="24"/>
          <w:szCs w:val="24"/>
          <w:vertAlign w:val="subscript"/>
        </w:rPr>
        <w:t>2</w:t>
      </w:r>
      <w:r>
        <w:rPr>
          <w:rFonts w:ascii="Times New Roman" w:hAnsi="Times New Roman"/>
          <w:sz w:val="24"/>
          <w:szCs w:val="24"/>
        </w:rPr>
        <w:t xml:space="preserve"> ne change pas de façon dramatique les paramètres </w:t>
      </w:r>
      <w:r w:rsidRPr="00816009">
        <w:rPr>
          <w:rFonts w:ascii="Times New Roman" w:hAnsi="Times New Roman"/>
          <w:color w:val="000000" w:themeColor="text1"/>
          <w:sz w:val="24"/>
          <w:szCs w:val="24"/>
        </w:rPr>
        <w:t xml:space="preserve">du matériau, car </w:t>
      </w:r>
      <w:r w:rsidR="00111D80" w:rsidRPr="00816009">
        <w:rPr>
          <w:rFonts w:ascii="Times New Roman" w:hAnsi="Times New Roman"/>
          <w:color w:val="000000" w:themeColor="text1"/>
          <w:sz w:val="24"/>
          <w:szCs w:val="24"/>
        </w:rPr>
        <w:t>le Ga et l’In sont chimiquement très similaires. Cependant, il y a quelq</w:t>
      </w:r>
      <w:r w:rsidR="00723A0D">
        <w:rPr>
          <w:rFonts w:ascii="Times New Roman" w:hAnsi="Times New Roman"/>
          <w:color w:val="000000" w:themeColor="text1"/>
          <w:sz w:val="24"/>
          <w:szCs w:val="24"/>
        </w:rPr>
        <w:t>ues exceptions à cette règle [30</w:t>
      </w:r>
      <w:r w:rsidR="00111D80" w:rsidRPr="00816009">
        <w:rPr>
          <w:rFonts w:ascii="Times New Roman" w:hAnsi="Times New Roman"/>
          <w:color w:val="000000" w:themeColor="text1"/>
          <w:sz w:val="24"/>
          <w:szCs w:val="24"/>
        </w:rPr>
        <w:t>].</w:t>
      </w:r>
    </w:p>
    <w:p w:rsidR="00111D80" w:rsidRPr="00816009" w:rsidRDefault="009D479F" w:rsidP="0011039E">
      <w:pPr>
        <w:pStyle w:val="1"/>
        <w:spacing w:before="240" w:line="360" w:lineRule="auto"/>
        <w:rPr>
          <w:rFonts w:ascii="Times New Roman" w:hAnsi="Times New Roman"/>
          <w:color w:val="000000" w:themeColor="text1"/>
          <w:sz w:val="24"/>
          <w:szCs w:val="24"/>
        </w:rPr>
      </w:pPr>
      <w:r>
        <w:rPr>
          <w:rFonts w:ascii="Times New Roman" w:hAnsi="Times New Roman"/>
          <w:color w:val="000000" w:themeColor="text1"/>
          <w:sz w:val="24"/>
          <w:szCs w:val="24"/>
        </w:rPr>
        <w:t>II.2</w:t>
      </w:r>
      <w:r w:rsidR="00D2168B">
        <w:rPr>
          <w:rFonts w:ascii="Times New Roman" w:hAnsi="Times New Roman"/>
          <w:color w:val="000000" w:themeColor="text1"/>
          <w:sz w:val="24"/>
          <w:szCs w:val="24"/>
        </w:rPr>
        <w:t>.</w:t>
      </w:r>
      <w:r w:rsidR="00111D80" w:rsidRPr="00816009">
        <w:rPr>
          <w:rFonts w:ascii="Times New Roman" w:hAnsi="Times New Roman"/>
          <w:color w:val="000000" w:themeColor="text1"/>
          <w:sz w:val="24"/>
          <w:szCs w:val="24"/>
        </w:rPr>
        <w:t xml:space="preserve"> </w:t>
      </w:r>
      <w:r>
        <w:rPr>
          <w:rFonts w:ascii="Times New Roman" w:hAnsi="Times New Roman"/>
          <w:color w:val="000000" w:themeColor="text1"/>
          <w:sz w:val="24"/>
          <w:szCs w:val="24"/>
        </w:rPr>
        <w:t>STRUCTURE CRISTALLOGRAPHIQUE</w:t>
      </w:r>
      <w:r w:rsidR="00111D80" w:rsidRPr="00816009">
        <w:rPr>
          <w:rFonts w:ascii="Times New Roman" w:hAnsi="Times New Roman"/>
          <w:color w:val="000000" w:themeColor="text1"/>
          <w:sz w:val="24"/>
          <w:szCs w:val="24"/>
        </w:rPr>
        <w:t xml:space="preserve"> </w:t>
      </w:r>
    </w:p>
    <w:p w:rsidR="00285A97" w:rsidRPr="00816009" w:rsidRDefault="00111D80" w:rsidP="000B6FFA">
      <w:pPr>
        <w:spacing w:before="120" w:after="0" w:line="360" w:lineRule="auto"/>
        <w:ind w:firstLine="567"/>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Les matériaux I-III-VI</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cristallisent sous deux formes allotropiques bien connues, la chalcopyrite et la sphalérite. Cette dernière possède une structure cubique à faces centrées de type zinc-blende avec une distr</w:t>
      </w:r>
      <w:r w:rsidR="00723A0D">
        <w:rPr>
          <w:rFonts w:ascii="Times New Roman" w:hAnsi="Times New Roman"/>
          <w:color w:val="000000" w:themeColor="text1"/>
          <w:sz w:val="24"/>
          <w:szCs w:val="24"/>
        </w:rPr>
        <w:t>ibution aléatoire des cations [24</w:t>
      </w:r>
      <w:r w:rsidRPr="00816009">
        <w:rPr>
          <w:rFonts w:ascii="Times New Roman" w:hAnsi="Times New Roman"/>
          <w:color w:val="000000" w:themeColor="text1"/>
          <w:sz w:val="24"/>
          <w:szCs w:val="24"/>
        </w:rPr>
        <w:t>]. La première structure, ordonnée et tétragonale, est caractérisée par un arrangement bien ordonné des cations. Chaque atome de sélénium est lié tétraédriquement  à deux atomes de cuivre et deux atomes d’indium, chacun d’entre eux étant entouré de quatre atomes de sélénium. Deux plans spécifiques, respectivement de cuivre et d’indium peuvent être ainsi bien identifiés. La sphalérite, à l’opposé, se caractérise par un arrangement aléatoire. Il a été montré expérimentalement que la structure chalcopyrite est plus intéressante pour la conversion photovoltaïque. La structure cristallographique de cette famille de matériaux leur assure une grande stabilité, leur permettant même de résister aux rayonnements cosmi</w:t>
      </w:r>
      <w:r w:rsidR="00723A0D">
        <w:rPr>
          <w:rFonts w:ascii="Times New Roman" w:hAnsi="Times New Roman"/>
          <w:color w:val="000000" w:themeColor="text1"/>
          <w:sz w:val="24"/>
          <w:szCs w:val="24"/>
        </w:rPr>
        <w:t>ques très élevés de l’espace [31, 32</w:t>
      </w:r>
      <w:r w:rsidRPr="00816009">
        <w:rPr>
          <w:rFonts w:ascii="Times New Roman" w:hAnsi="Times New Roman"/>
          <w:color w:val="000000" w:themeColor="text1"/>
          <w:sz w:val="24"/>
          <w:szCs w:val="24"/>
        </w:rPr>
        <w:t xml:space="preserve">]. Les deux formes allotropiques sont représentées sur la figure </w:t>
      </w:r>
      <w:r w:rsidR="00A95691" w:rsidRPr="00D70296">
        <w:rPr>
          <w:rFonts w:asciiTheme="majorBidi" w:hAnsiTheme="majorBidi" w:cstheme="majorBidi"/>
          <w:b/>
          <w:bCs/>
          <w:sz w:val="24"/>
          <w:szCs w:val="24"/>
        </w:rPr>
        <w:t>II</w:t>
      </w:r>
      <w:r w:rsidR="00A95691" w:rsidRPr="00A95691">
        <w:rPr>
          <w:rFonts w:ascii="Times New Roman" w:hAnsi="Times New Roman"/>
          <w:b/>
          <w:color w:val="000000" w:themeColor="text1"/>
          <w:sz w:val="24"/>
          <w:szCs w:val="24"/>
        </w:rPr>
        <w:t>.</w:t>
      </w:r>
      <w:r w:rsidRPr="00A95691">
        <w:rPr>
          <w:rFonts w:ascii="Times New Roman" w:hAnsi="Times New Roman"/>
          <w:b/>
          <w:color w:val="000000" w:themeColor="text1"/>
          <w:sz w:val="24"/>
          <w:szCs w:val="24"/>
        </w:rPr>
        <w:t>1</w:t>
      </w:r>
      <w:r w:rsidRPr="00816009">
        <w:rPr>
          <w:rFonts w:ascii="Times New Roman" w:hAnsi="Times New Roman"/>
          <w:color w:val="000000" w:themeColor="text1"/>
          <w:sz w:val="24"/>
          <w:szCs w:val="24"/>
        </w:rPr>
        <w:t>. La structure du CuInSe</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est obtenue à partir de la structure cubique zinc blende du matériau II-VI tel que ZnSe en remplaçant les atomes de zinc alternativement par Cu et In.</w:t>
      </w:r>
      <w:r w:rsidR="00285A97" w:rsidRPr="00816009">
        <w:rPr>
          <w:rFonts w:ascii="Times New Roman" w:hAnsi="Times New Roman"/>
          <w:color w:val="000000" w:themeColor="text1"/>
          <w:sz w:val="24"/>
          <w:szCs w:val="24"/>
        </w:rPr>
        <w:t xml:space="preserve"> La figure </w:t>
      </w:r>
      <w:r w:rsidR="00A76D35" w:rsidRPr="00D70296">
        <w:rPr>
          <w:rFonts w:asciiTheme="majorBidi" w:hAnsiTheme="majorBidi" w:cstheme="majorBidi"/>
          <w:b/>
          <w:bCs/>
          <w:sz w:val="24"/>
          <w:szCs w:val="24"/>
        </w:rPr>
        <w:t>II</w:t>
      </w:r>
      <w:r w:rsidR="00A76D35" w:rsidRPr="00A76D35">
        <w:rPr>
          <w:rFonts w:ascii="Times New Roman" w:hAnsi="Times New Roman"/>
          <w:b/>
          <w:color w:val="000000" w:themeColor="text1"/>
          <w:sz w:val="24"/>
          <w:szCs w:val="24"/>
        </w:rPr>
        <w:t>.</w:t>
      </w:r>
      <w:r w:rsidR="00285A97" w:rsidRPr="00A76D35">
        <w:rPr>
          <w:rFonts w:ascii="Times New Roman" w:hAnsi="Times New Roman"/>
          <w:b/>
          <w:color w:val="000000" w:themeColor="text1"/>
          <w:sz w:val="24"/>
          <w:szCs w:val="24"/>
        </w:rPr>
        <w:t>2</w:t>
      </w:r>
      <w:r w:rsidR="00285A97" w:rsidRPr="00816009">
        <w:rPr>
          <w:rFonts w:ascii="Times New Roman" w:hAnsi="Times New Roman"/>
          <w:color w:val="000000" w:themeColor="text1"/>
          <w:sz w:val="24"/>
          <w:szCs w:val="24"/>
        </w:rPr>
        <w:t xml:space="preserve"> présente la structure chalcopyrite pour l’alliage CuIn</w:t>
      </w:r>
      <w:r w:rsidR="00285A97" w:rsidRPr="00816009">
        <w:rPr>
          <w:rFonts w:ascii="Times New Roman" w:hAnsi="Times New Roman"/>
          <w:color w:val="000000" w:themeColor="text1"/>
          <w:sz w:val="24"/>
          <w:szCs w:val="24"/>
          <w:vertAlign w:val="subscript"/>
        </w:rPr>
        <w:t>x</w:t>
      </w:r>
      <w:r w:rsidR="00285A97" w:rsidRPr="00816009">
        <w:rPr>
          <w:rFonts w:ascii="Times New Roman" w:hAnsi="Times New Roman"/>
          <w:color w:val="000000" w:themeColor="text1"/>
          <w:sz w:val="24"/>
          <w:szCs w:val="24"/>
        </w:rPr>
        <w:t>Ga</w:t>
      </w:r>
      <w:r w:rsidR="00285A97" w:rsidRPr="00816009">
        <w:rPr>
          <w:rFonts w:ascii="Times New Roman" w:hAnsi="Times New Roman"/>
          <w:color w:val="000000" w:themeColor="text1"/>
          <w:sz w:val="24"/>
          <w:szCs w:val="24"/>
          <w:vertAlign w:val="subscript"/>
        </w:rPr>
        <w:t>1-x</w:t>
      </w:r>
      <w:r w:rsidR="00285A97" w:rsidRPr="00816009">
        <w:rPr>
          <w:rFonts w:ascii="Times New Roman" w:hAnsi="Times New Roman"/>
          <w:color w:val="000000" w:themeColor="text1"/>
          <w:sz w:val="24"/>
          <w:szCs w:val="24"/>
        </w:rPr>
        <w:t>Se</w:t>
      </w:r>
      <w:r w:rsidR="00285A97" w:rsidRPr="00816009">
        <w:rPr>
          <w:rFonts w:ascii="Times New Roman" w:hAnsi="Times New Roman"/>
          <w:color w:val="000000" w:themeColor="text1"/>
          <w:sz w:val="24"/>
          <w:szCs w:val="24"/>
          <w:vertAlign w:val="subscript"/>
        </w:rPr>
        <w:t>2</w:t>
      </w:r>
      <w:r w:rsidR="00285A97" w:rsidRPr="00816009">
        <w:rPr>
          <w:rFonts w:ascii="Times New Roman" w:hAnsi="Times New Roman"/>
          <w:color w:val="000000" w:themeColor="text1"/>
          <w:sz w:val="24"/>
          <w:szCs w:val="24"/>
        </w:rPr>
        <w:t xml:space="preserve"> pour x = 0.25</w:t>
      </w:r>
      <w:r w:rsidR="00723A0D">
        <w:rPr>
          <w:rFonts w:ascii="Times New Roman" w:hAnsi="Times New Roman"/>
          <w:color w:val="000000" w:themeColor="text1"/>
          <w:sz w:val="24"/>
          <w:szCs w:val="24"/>
        </w:rPr>
        <w:t xml:space="preserve"> [34</w:t>
      </w:r>
      <w:r w:rsidR="00816009">
        <w:rPr>
          <w:rFonts w:ascii="Times New Roman" w:hAnsi="Times New Roman"/>
          <w:color w:val="000000" w:themeColor="text1"/>
          <w:sz w:val="24"/>
          <w:szCs w:val="24"/>
        </w:rPr>
        <w:t>]</w:t>
      </w:r>
      <w:r w:rsidR="00285A97" w:rsidRPr="00816009">
        <w:rPr>
          <w:rFonts w:ascii="Times New Roman" w:hAnsi="Times New Roman"/>
          <w:color w:val="000000" w:themeColor="text1"/>
          <w:sz w:val="24"/>
          <w:szCs w:val="24"/>
        </w:rPr>
        <w:t xml:space="preserve">.  </w:t>
      </w:r>
    </w:p>
    <w:p w:rsidR="00111D80" w:rsidRPr="00816009" w:rsidRDefault="00111D80" w:rsidP="000B6FFA">
      <w:pPr>
        <w:spacing w:before="120" w:after="0" w:line="360" w:lineRule="auto"/>
        <w:ind w:firstLine="567"/>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L’identification de la structure cristallographique est déterminée à travers l’étude de la diffraction des rayons X. Jaffee et al</w:t>
      </w:r>
      <w:r w:rsidR="00A95691" w:rsidRPr="00816009">
        <w:rPr>
          <w:rFonts w:ascii="Times New Roman" w:hAnsi="Times New Roman"/>
          <w:color w:val="000000" w:themeColor="text1"/>
          <w:sz w:val="24"/>
          <w:szCs w:val="24"/>
        </w:rPr>
        <w:t>. [</w:t>
      </w:r>
      <w:r w:rsidR="00723A0D">
        <w:rPr>
          <w:rFonts w:ascii="Times New Roman" w:hAnsi="Times New Roman"/>
          <w:color w:val="000000" w:themeColor="text1"/>
          <w:sz w:val="24"/>
          <w:szCs w:val="24"/>
        </w:rPr>
        <w:t>33</w:t>
      </w:r>
      <w:r w:rsidRPr="00816009">
        <w:rPr>
          <w:rFonts w:ascii="Times New Roman" w:hAnsi="Times New Roman"/>
          <w:color w:val="000000" w:themeColor="text1"/>
          <w:sz w:val="24"/>
          <w:szCs w:val="24"/>
        </w:rPr>
        <w:t>] ont classifié les raies de diffraction en trois groupes :</w:t>
      </w:r>
    </w:p>
    <w:p w:rsidR="00111D80" w:rsidRPr="00816009" w:rsidRDefault="00111D80" w:rsidP="000B6FFA">
      <w:pPr>
        <w:pStyle w:val="a6"/>
        <w:numPr>
          <w:ilvl w:val="0"/>
          <w:numId w:val="6"/>
        </w:numPr>
        <w:spacing w:before="120" w:after="0" w:line="360" w:lineRule="auto"/>
        <w:ind w:left="680" w:hanging="300"/>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 xml:space="preserve">Groupe 1 : les raies sont caractérisées par les indices de Miller </w:t>
      </w:r>
      <w:r w:rsidRPr="00816009">
        <w:rPr>
          <w:rFonts w:ascii="Times New Roman" w:hAnsi="Times New Roman"/>
          <w:color w:val="000000" w:themeColor="text1"/>
          <w:position w:val="-10"/>
          <w:sz w:val="24"/>
          <w:szCs w:val="24"/>
        </w:rPr>
        <w:object w:dxaOrig="9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9pt;height:17.65pt" o:ole="">
            <v:imagedata r:id="rId8" o:title=""/>
          </v:shape>
          <o:OLEObject Type="Embed" ProgID="Equation.3" ShapeID="_x0000_i1026" DrawAspect="Content" ObjectID="_1305984782" r:id="rId9"/>
        </w:object>
      </w:r>
      <w:r w:rsidR="00C82ACA" w:rsidRPr="00816009">
        <w:rPr>
          <w:rFonts w:ascii="Times New Roman" w:eastAsia="Times New Roman" w:hAnsi="Times New Roman"/>
          <w:color w:val="000000" w:themeColor="text1"/>
          <w:sz w:val="24"/>
          <w:szCs w:val="24"/>
        </w:rPr>
        <w:fldChar w:fldCharType="begin"/>
      </w:r>
      <w:r w:rsidRPr="00816009">
        <w:rPr>
          <w:rFonts w:ascii="Times New Roman" w:eastAsia="Times New Roman" w:hAnsi="Times New Roman"/>
          <w:color w:val="000000" w:themeColor="text1"/>
          <w:sz w:val="24"/>
          <w:szCs w:val="24"/>
        </w:rPr>
        <w:instrText xml:space="preserve"> QUOTE </w:instrText>
      </w:r>
      <m:oMath>
        <m:r>
          <w:rPr>
            <w:rFonts w:ascii="Cambria Math" w:hAnsi="Cambria Math"/>
            <w:color w:val="000000" w:themeColor="text1"/>
            <w:sz w:val="26"/>
            <w:szCs w:val="26"/>
          </w:rPr>
          <m:t>(h,k,</m:t>
        </m:r>
        <m:f>
          <m:fPr>
            <m:type m:val="lin"/>
            <m:ctrlPr>
              <w:rPr>
                <w:rFonts w:ascii="Cambria Math" w:hAnsi="Cambria Math"/>
                <w:i/>
                <w:color w:val="000000" w:themeColor="text1"/>
                <w:sz w:val="26"/>
                <w:szCs w:val="26"/>
              </w:rPr>
            </m:ctrlPr>
          </m:fPr>
          <m:num>
            <m:r>
              <w:rPr>
                <w:rFonts w:ascii="Cambria Math" w:hAnsi="Cambria Math"/>
                <w:color w:val="000000" w:themeColor="text1"/>
                <w:sz w:val="26"/>
                <w:szCs w:val="26"/>
              </w:rPr>
              <m:t>l</m:t>
            </m:r>
          </m:num>
          <m:den>
            <m:r>
              <w:rPr>
                <w:rFonts w:ascii="Cambria Math" w:hAnsi="Cambria Math"/>
                <w:color w:val="000000" w:themeColor="text1"/>
                <w:sz w:val="26"/>
                <w:szCs w:val="26"/>
              </w:rPr>
              <m:t>2)</m:t>
            </m:r>
          </m:den>
        </m:f>
      </m:oMath>
      <w:r w:rsidRPr="00816009">
        <w:rPr>
          <w:rFonts w:ascii="Times New Roman" w:eastAsia="Times New Roman" w:hAnsi="Times New Roman"/>
          <w:color w:val="000000" w:themeColor="text1"/>
          <w:sz w:val="24"/>
          <w:szCs w:val="24"/>
        </w:rPr>
        <w:instrText xml:space="preserve"> </w:instrText>
      </w:r>
      <w:r w:rsidR="00C82ACA" w:rsidRPr="00816009">
        <w:rPr>
          <w:rFonts w:ascii="Times New Roman" w:eastAsia="Times New Roman" w:hAnsi="Times New Roman"/>
          <w:color w:val="000000" w:themeColor="text1"/>
          <w:sz w:val="24"/>
          <w:szCs w:val="24"/>
        </w:rPr>
        <w:fldChar w:fldCharType="end"/>
      </w:r>
      <w:r w:rsidRPr="00816009">
        <w:rPr>
          <w:rFonts w:ascii="Times New Roman" w:eastAsia="Times New Roman" w:hAnsi="Times New Roman"/>
          <w:color w:val="000000" w:themeColor="text1"/>
          <w:sz w:val="24"/>
          <w:szCs w:val="24"/>
        </w:rPr>
        <w:t xml:space="preserve"> tous pairs ou tous impairs. Cet ensemble de raies est observable pour la chalcopyrite et la sphalérite.</w:t>
      </w:r>
    </w:p>
    <w:p w:rsidR="00111D80" w:rsidRPr="00816009" w:rsidRDefault="00111D80" w:rsidP="00285A97">
      <w:pPr>
        <w:pStyle w:val="a6"/>
        <w:numPr>
          <w:ilvl w:val="0"/>
          <w:numId w:val="6"/>
        </w:numPr>
        <w:spacing w:before="120" w:after="120" w:line="360" w:lineRule="auto"/>
        <w:ind w:left="770" w:hanging="410"/>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 xml:space="preserve">Groupe 2 : les indices de Miller correspondants sont de la forme </w:t>
      </w:r>
      <w:r w:rsidRPr="00816009">
        <w:rPr>
          <w:rFonts w:ascii="Times New Roman" w:hAnsi="Times New Roman"/>
          <w:color w:val="000000" w:themeColor="text1"/>
          <w:position w:val="-10"/>
          <w:sz w:val="24"/>
          <w:szCs w:val="24"/>
        </w:rPr>
        <w:object w:dxaOrig="580" w:dyaOrig="320">
          <v:shape id="_x0000_i1027" type="#_x0000_t75" style="width:28.55pt;height:16.3pt" o:ole="">
            <v:imagedata r:id="rId10" o:title=""/>
          </v:shape>
          <o:OLEObject Type="Embed" ProgID="Equation.3" ShapeID="_x0000_i1027" DrawAspect="Content" ObjectID="_1305984783" r:id="rId11"/>
        </w:object>
      </w:r>
      <w:r w:rsidR="00C82ACA" w:rsidRPr="00816009">
        <w:rPr>
          <w:rFonts w:ascii="Times New Roman" w:eastAsia="Times New Roman" w:hAnsi="Times New Roman"/>
          <w:color w:val="000000" w:themeColor="text1"/>
          <w:sz w:val="24"/>
          <w:szCs w:val="24"/>
        </w:rPr>
        <w:fldChar w:fldCharType="begin"/>
      </w:r>
      <w:r w:rsidRPr="00816009">
        <w:rPr>
          <w:rFonts w:ascii="Times New Roman" w:eastAsia="Times New Roman" w:hAnsi="Times New Roman"/>
          <w:color w:val="000000" w:themeColor="text1"/>
          <w:sz w:val="24"/>
          <w:szCs w:val="24"/>
        </w:rPr>
        <w:instrText xml:space="preserve"> QUOTE </w:instrText>
      </w:r>
      <m:oMath>
        <m:r>
          <w:rPr>
            <w:rFonts w:ascii="Cambria Math" w:hAnsi="Cambria Math"/>
            <w:color w:val="000000" w:themeColor="text1"/>
            <w:sz w:val="26"/>
            <w:szCs w:val="26"/>
          </w:rPr>
          <m:t>(h,k)</m:t>
        </m:r>
      </m:oMath>
      <w:r w:rsidRPr="00816009">
        <w:rPr>
          <w:rFonts w:ascii="Times New Roman" w:eastAsia="Times New Roman" w:hAnsi="Times New Roman"/>
          <w:color w:val="000000" w:themeColor="text1"/>
          <w:sz w:val="24"/>
          <w:szCs w:val="24"/>
        </w:rPr>
        <w:instrText xml:space="preserve"> </w:instrText>
      </w:r>
      <w:r w:rsidR="00C82ACA" w:rsidRPr="00816009">
        <w:rPr>
          <w:rFonts w:ascii="Times New Roman" w:eastAsia="Times New Roman" w:hAnsi="Times New Roman"/>
          <w:color w:val="000000" w:themeColor="text1"/>
          <w:sz w:val="24"/>
          <w:szCs w:val="24"/>
        </w:rPr>
        <w:fldChar w:fldCharType="end"/>
      </w:r>
      <w:r w:rsidRPr="00816009">
        <w:rPr>
          <w:rFonts w:ascii="Times New Roman" w:eastAsia="Times New Roman" w:hAnsi="Times New Roman"/>
          <w:color w:val="000000" w:themeColor="text1"/>
          <w:sz w:val="24"/>
          <w:szCs w:val="24"/>
        </w:rPr>
        <w:t xml:space="preserve"> pairs et </w:t>
      </w:r>
      <w:r w:rsidRPr="00816009">
        <w:rPr>
          <w:rFonts w:ascii="Times New Roman" w:hAnsi="Times New Roman"/>
          <w:color w:val="000000" w:themeColor="text1"/>
          <w:position w:val="-10"/>
          <w:sz w:val="24"/>
          <w:szCs w:val="24"/>
        </w:rPr>
        <w:object w:dxaOrig="560" w:dyaOrig="340">
          <v:shape id="_x0000_i1028" type="#_x0000_t75" style="width:27.85pt;height:17.65pt" o:ole="">
            <v:imagedata r:id="rId12" o:title=""/>
          </v:shape>
          <o:OLEObject Type="Embed" ProgID="Equation.3" ShapeID="_x0000_i1028" DrawAspect="Content" ObjectID="_1305984784" r:id="rId13"/>
        </w:object>
      </w:r>
      <w:r w:rsidR="00C82ACA" w:rsidRPr="00816009">
        <w:rPr>
          <w:rFonts w:ascii="Times New Roman" w:eastAsia="Times New Roman" w:hAnsi="Times New Roman"/>
          <w:color w:val="000000" w:themeColor="text1"/>
          <w:sz w:val="24"/>
          <w:szCs w:val="24"/>
        </w:rPr>
        <w:fldChar w:fldCharType="begin"/>
      </w:r>
      <w:r w:rsidRPr="00816009">
        <w:rPr>
          <w:rFonts w:ascii="Times New Roman" w:eastAsia="Times New Roman" w:hAnsi="Times New Roman"/>
          <w:color w:val="000000" w:themeColor="text1"/>
          <w:sz w:val="24"/>
          <w:szCs w:val="24"/>
        </w:rPr>
        <w:instrText xml:space="preserve"> QUOTE </w:instrText>
      </w:r>
      <m:oMath>
        <m:f>
          <m:fPr>
            <m:type m:val="lin"/>
            <m:ctrlPr>
              <w:rPr>
                <w:rFonts w:ascii="Cambria Math" w:eastAsia="Times New Roman" w:hAnsi="Cambria Math"/>
                <w:i/>
                <w:color w:val="000000" w:themeColor="text1"/>
                <w:sz w:val="26"/>
                <w:szCs w:val="26"/>
              </w:rPr>
            </m:ctrlPr>
          </m:fPr>
          <m:num>
            <m:r>
              <w:rPr>
                <w:rFonts w:ascii="Cambria Math" w:eastAsia="Times New Roman" w:hAnsi="Cambria Math"/>
                <w:color w:val="000000" w:themeColor="text1"/>
                <w:sz w:val="26"/>
                <w:szCs w:val="26"/>
              </w:rPr>
              <m:t>l</m:t>
            </m:r>
          </m:num>
          <m:den>
            <m:r>
              <w:rPr>
                <w:rFonts w:ascii="Cambria Math" w:eastAsia="Times New Roman" w:hAnsi="Cambria Math"/>
                <w:color w:val="000000" w:themeColor="text1"/>
                <w:sz w:val="26"/>
                <w:szCs w:val="26"/>
              </w:rPr>
              <m:t>2</m:t>
            </m:r>
          </m:den>
        </m:f>
      </m:oMath>
      <w:r w:rsidRPr="00816009">
        <w:rPr>
          <w:rFonts w:ascii="Times New Roman" w:eastAsia="Times New Roman" w:hAnsi="Times New Roman"/>
          <w:color w:val="000000" w:themeColor="text1"/>
          <w:sz w:val="24"/>
          <w:szCs w:val="24"/>
        </w:rPr>
        <w:instrText xml:space="preserve"> </w:instrText>
      </w:r>
      <w:r w:rsidR="00C82ACA" w:rsidRPr="00816009">
        <w:rPr>
          <w:rFonts w:ascii="Times New Roman" w:eastAsia="Times New Roman" w:hAnsi="Times New Roman"/>
          <w:color w:val="000000" w:themeColor="text1"/>
          <w:sz w:val="24"/>
          <w:szCs w:val="24"/>
        </w:rPr>
        <w:fldChar w:fldCharType="end"/>
      </w:r>
      <w:r w:rsidRPr="00816009">
        <w:rPr>
          <w:rFonts w:ascii="Times New Roman" w:eastAsia="Times New Roman" w:hAnsi="Times New Roman"/>
          <w:color w:val="000000" w:themeColor="text1"/>
          <w:sz w:val="24"/>
          <w:szCs w:val="24"/>
        </w:rPr>
        <w:t xml:space="preserve"> impair ou l’inverse.</w:t>
      </w:r>
    </w:p>
    <w:p w:rsidR="00111D80" w:rsidRPr="00816009" w:rsidRDefault="00111D80" w:rsidP="00111D80">
      <w:pPr>
        <w:pStyle w:val="a6"/>
        <w:numPr>
          <w:ilvl w:val="0"/>
          <w:numId w:val="6"/>
        </w:numPr>
        <w:spacing w:after="120" w:line="360" w:lineRule="auto"/>
        <w:ind w:left="770" w:hanging="410"/>
        <w:jc w:val="both"/>
        <w:rPr>
          <w:rFonts w:ascii="Times New Roman" w:hAnsi="Times New Roman"/>
          <w:color w:val="000000" w:themeColor="text1"/>
          <w:sz w:val="24"/>
          <w:szCs w:val="24"/>
        </w:rPr>
      </w:pPr>
      <w:r w:rsidRPr="00816009">
        <w:rPr>
          <w:rFonts w:ascii="Times New Roman" w:hAnsi="Times New Roman"/>
          <w:color w:val="000000" w:themeColor="text1"/>
          <w:sz w:val="24"/>
          <w:szCs w:val="24"/>
        </w:rPr>
        <w:t xml:space="preserve">Groupe 3 : spécifique de la structure chalcopyrite et d’intensité faible. De ce fait, il faut que la quantité de matière étudiée soit assez importante. Les indices de Miller de la forme h pair et </w:t>
      </w:r>
      <w:r w:rsidRPr="00816009">
        <w:rPr>
          <w:rFonts w:ascii="Times New Roman" w:hAnsi="Times New Roman"/>
          <w:color w:val="000000" w:themeColor="text1"/>
          <w:position w:val="-10"/>
          <w:sz w:val="24"/>
          <w:szCs w:val="24"/>
        </w:rPr>
        <w:object w:dxaOrig="540" w:dyaOrig="320">
          <v:shape id="_x0000_i1029" type="#_x0000_t75" style="width:27.15pt;height:16.3pt" o:ole="">
            <v:imagedata r:id="rId14" o:title=""/>
          </v:shape>
          <o:OLEObject Type="Embed" ProgID="Equation.3" ShapeID="_x0000_i1029" DrawAspect="Content" ObjectID="_1305984785" r:id="rId15"/>
        </w:object>
      </w:r>
      <w:r w:rsidR="00C82ACA" w:rsidRPr="00816009">
        <w:rPr>
          <w:rFonts w:ascii="Times New Roman" w:hAnsi="Times New Roman"/>
          <w:color w:val="000000" w:themeColor="text1"/>
          <w:sz w:val="24"/>
          <w:szCs w:val="24"/>
        </w:rPr>
        <w:fldChar w:fldCharType="begin"/>
      </w:r>
      <w:r w:rsidRPr="00816009">
        <w:rPr>
          <w:rFonts w:ascii="Times New Roman" w:hAnsi="Times New Roman"/>
          <w:color w:val="000000" w:themeColor="text1"/>
          <w:sz w:val="24"/>
          <w:szCs w:val="24"/>
        </w:rPr>
        <w:instrText xml:space="preserve"> QUOTE </w:instrText>
      </w:r>
      <m:oMath>
        <m:r>
          <w:rPr>
            <w:rFonts w:ascii="Cambria Math" w:eastAsia="Times New Roman" w:hAnsi="Cambria Math"/>
            <w:color w:val="000000" w:themeColor="text1"/>
            <w:sz w:val="26"/>
            <w:szCs w:val="26"/>
          </w:rPr>
          <m:t>(k,l)</m:t>
        </m:r>
      </m:oMath>
      <w:r w:rsidRPr="00816009">
        <w:rPr>
          <w:rFonts w:ascii="Times New Roman" w:hAnsi="Times New Roman"/>
          <w:color w:val="000000" w:themeColor="text1"/>
          <w:sz w:val="24"/>
          <w:szCs w:val="24"/>
        </w:rPr>
        <w:instrText xml:space="preserve"> </w:instrText>
      </w:r>
      <w:r w:rsidR="00C82ACA" w:rsidRPr="00816009">
        <w:rPr>
          <w:rFonts w:ascii="Times New Roman" w:hAnsi="Times New Roman"/>
          <w:color w:val="000000" w:themeColor="text1"/>
          <w:sz w:val="24"/>
          <w:szCs w:val="24"/>
        </w:rPr>
        <w:fldChar w:fldCharType="end"/>
      </w:r>
      <w:r w:rsidRPr="00816009">
        <w:rPr>
          <w:rFonts w:ascii="Times New Roman" w:hAnsi="Times New Roman"/>
          <w:color w:val="000000" w:themeColor="text1"/>
          <w:sz w:val="24"/>
          <w:szCs w:val="24"/>
        </w:rPr>
        <w:t>impairs ou</w:t>
      </w:r>
      <w:r w:rsidR="00C82ACA" w:rsidRPr="00816009">
        <w:rPr>
          <w:rFonts w:ascii="Times New Roman" w:hAnsi="Times New Roman"/>
          <w:color w:val="000000" w:themeColor="text1"/>
          <w:sz w:val="24"/>
          <w:szCs w:val="24"/>
        </w:rPr>
        <w:fldChar w:fldCharType="begin"/>
      </w:r>
      <w:r w:rsidRPr="00816009">
        <w:rPr>
          <w:rFonts w:ascii="Times New Roman" w:hAnsi="Times New Roman"/>
          <w:color w:val="000000" w:themeColor="text1"/>
          <w:sz w:val="24"/>
          <w:szCs w:val="24"/>
        </w:rPr>
        <w:instrText xml:space="preserve"> QUOTE </w:instrText>
      </w:r>
      <m:oMath>
        <m:r>
          <w:rPr>
            <w:rFonts w:ascii="Cambria Math" w:eastAsia="Times New Roman" w:hAnsi="Cambria Math"/>
            <w:color w:val="000000" w:themeColor="text1"/>
            <w:sz w:val="26"/>
            <w:szCs w:val="26"/>
          </w:rPr>
          <m:t>k</m:t>
        </m:r>
      </m:oMath>
      <w:r w:rsidRPr="00816009">
        <w:rPr>
          <w:rFonts w:ascii="Times New Roman" w:hAnsi="Times New Roman"/>
          <w:color w:val="000000" w:themeColor="text1"/>
          <w:sz w:val="24"/>
          <w:szCs w:val="24"/>
        </w:rPr>
        <w:instrText xml:space="preserve"> </w:instrText>
      </w:r>
      <w:r w:rsidR="00C82ACA" w:rsidRPr="00816009">
        <w:rPr>
          <w:rFonts w:ascii="Times New Roman" w:hAnsi="Times New Roman"/>
          <w:color w:val="000000" w:themeColor="text1"/>
          <w:sz w:val="24"/>
          <w:szCs w:val="24"/>
        </w:rPr>
        <w:fldChar w:fldCharType="end"/>
      </w:r>
      <w:r w:rsidRPr="00816009">
        <w:rPr>
          <w:rFonts w:ascii="Times New Roman" w:hAnsi="Times New Roman"/>
          <w:color w:val="000000" w:themeColor="text1"/>
          <w:sz w:val="24"/>
          <w:szCs w:val="24"/>
        </w:rPr>
        <w:t xml:space="preserve"> k pair et </w:t>
      </w:r>
      <w:r w:rsidRPr="00816009">
        <w:rPr>
          <w:rFonts w:ascii="Times New Roman" w:hAnsi="Times New Roman"/>
          <w:color w:val="000000" w:themeColor="text1"/>
          <w:position w:val="-10"/>
          <w:sz w:val="24"/>
          <w:szCs w:val="24"/>
        </w:rPr>
        <w:object w:dxaOrig="540" w:dyaOrig="320">
          <v:shape id="_x0000_i1030" type="#_x0000_t75" style="width:27.15pt;height:16.3pt" o:ole="">
            <v:imagedata r:id="rId16" o:title=""/>
          </v:shape>
          <o:OLEObject Type="Embed" ProgID="Equation.3" ShapeID="_x0000_i1030" DrawAspect="Content" ObjectID="_1305984786" r:id="rId17"/>
        </w:object>
      </w:r>
      <w:r w:rsidRPr="00816009">
        <w:rPr>
          <w:rFonts w:ascii="Times New Roman" w:hAnsi="Times New Roman"/>
          <w:color w:val="000000" w:themeColor="text1"/>
          <w:sz w:val="24"/>
          <w:szCs w:val="24"/>
        </w:rPr>
        <w:t>impairs.</w:t>
      </w:r>
    </w:p>
    <w:p w:rsidR="00111D80" w:rsidRDefault="000F6937" w:rsidP="000B6FFA">
      <w:pPr>
        <w:spacing w:before="120" w:after="0" w:line="360" w:lineRule="auto"/>
        <w:jc w:val="center"/>
        <w:rPr>
          <w:rFonts w:ascii="Times New Roman" w:hAnsi="Times New Roman"/>
          <w:sz w:val="24"/>
          <w:szCs w:val="24"/>
        </w:rPr>
      </w:pPr>
      <w:r>
        <w:rPr>
          <w:rFonts w:ascii="Times New Roman" w:hAnsi="Times New Roman"/>
          <w:noProof/>
          <w:sz w:val="24"/>
          <w:szCs w:val="24"/>
          <w:lang w:eastAsia="fr-FR"/>
        </w:rPr>
        <w:lastRenderedPageBreak/>
        <w:drawing>
          <wp:inline distT="0" distB="0" distL="0" distR="0">
            <wp:extent cx="5760720" cy="3579709"/>
            <wp:effectExtent l="19050" t="0" r="0" b="0"/>
            <wp:docPr id="5" name="صورة 39" descr="C:\Documents and Settings\idris\Bureau\CIGS lattice im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idris\Bureau\CIGS lattice image.tif"/>
                    <pic:cNvPicPr>
                      <a:picLocks noChangeAspect="1" noChangeArrowheads="1"/>
                    </pic:cNvPicPr>
                  </pic:nvPicPr>
                  <pic:blipFill>
                    <a:blip r:embed="rId18" cstate="print"/>
                    <a:srcRect/>
                    <a:stretch>
                      <a:fillRect/>
                    </a:stretch>
                  </pic:blipFill>
                  <pic:spPr bwMode="auto">
                    <a:xfrm>
                      <a:off x="0" y="0"/>
                      <a:ext cx="5760720" cy="3579709"/>
                    </a:xfrm>
                    <a:prstGeom prst="rect">
                      <a:avLst/>
                    </a:prstGeom>
                    <a:noFill/>
                    <a:ln w="9525">
                      <a:noFill/>
                      <a:miter lim="800000"/>
                      <a:headEnd/>
                      <a:tailEnd/>
                    </a:ln>
                  </pic:spPr>
                </pic:pic>
              </a:graphicData>
            </a:graphic>
          </wp:inline>
        </w:drawing>
      </w:r>
    </w:p>
    <w:p w:rsidR="00111D80" w:rsidRDefault="00111D80" w:rsidP="000B6FFA">
      <w:pPr>
        <w:spacing w:before="120" w:after="0" w:line="360" w:lineRule="auto"/>
        <w:ind w:left="709"/>
        <w:jc w:val="center"/>
        <w:rPr>
          <w:rFonts w:ascii="Times New Roman" w:hAnsi="Times New Roman"/>
          <w:bCs/>
          <w:sz w:val="24"/>
        </w:rPr>
      </w:pPr>
      <w:r w:rsidRPr="005913EC">
        <w:rPr>
          <w:rFonts w:ascii="Times New Roman" w:hAnsi="Times New Roman"/>
          <w:b/>
          <w:iCs/>
          <w:color w:val="000000" w:themeColor="text1"/>
          <w:sz w:val="24"/>
          <w:szCs w:val="24"/>
        </w:rPr>
        <w:t xml:space="preserve">Figure </w:t>
      </w:r>
      <w:r w:rsidR="005913EC" w:rsidRPr="005913EC">
        <w:rPr>
          <w:rFonts w:asciiTheme="majorBidi" w:hAnsiTheme="majorBidi" w:cstheme="majorBidi"/>
          <w:b/>
          <w:bCs/>
          <w:sz w:val="24"/>
          <w:szCs w:val="24"/>
        </w:rPr>
        <w:t>II</w:t>
      </w:r>
      <w:r w:rsidR="005913EC">
        <w:rPr>
          <w:rFonts w:asciiTheme="majorBidi" w:hAnsiTheme="majorBidi" w:cstheme="majorBidi"/>
          <w:b/>
          <w:bCs/>
          <w:sz w:val="24"/>
          <w:szCs w:val="24"/>
        </w:rPr>
        <w:t>.</w:t>
      </w:r>
      <w:r w:rsidRPr="005913EC">
        <w:rPr>
          <w:rFonts w:ascii="Times New Roman" w:hAnsi="Times New Roman"/>
          <w:b/>
          <w:iCs/>
          <w:color w:val="000000" w:themeColor="text1"/>
          <w:sz w:val="24"/>
          <w:szCs w:val="24"/>
        </w:rPr>
        <w:t>1</w:t>
      </w:r>
      <w:r w:rsidR="005F266E" w:rsidRPr="00816009">
        <w:rPr>
          <w:rFonts w:ascii="Times New Roman" w:hAnsi="Times New Roman"/>
          <w:b/>
          <w:iCs/>
          <w:color w:val="000000" w:themeColor="text1"/>
          <w:sz w:val="24"/>
          <w:szCs w:val="24"/>
        </w:rPr>
        <w:t xml:space="preserve"> : </w:t>
      </w:r>
      <w:r w:rsidR="00363298" w:rsidRPr="00816009">
        <w:rPr>
          <w:rFonts w:ascii="Times New Roman" w:hAnsi="Times New Roman"/>
          <w:bCs/>
          <w:color w:val="000000" w:themeColor="text1"/>
          <w:sz w:val="24"/>
        </w:rPr>
        <w:t>S</w:t>
      </w:r>
      <w:r w:rsidRPr="00816009">
        <w:rPr>
          <w:rFonts w:ascii="Times New Roman" w:hAnsi="Times New Roman"/>
          <w:bCs/>
          <w:color w:val="000000" w:themeColor="text1"/>
          <w:sz w:val="24"/>
        </w:rPr>
        <w:t>tructures</w:t>
      </w:r>
      <w:r w:rsidR="00363298">
        <w:rPr>
          <w:rFonts w:ascii="Times New Roman" w:hAnsi="Times New Roman"/>
          <w:bCs/>
          <w:sz w:val="24"/>
        </w:rPr>
        <w:t xml:space="preserve"> d</w:t>
      </w:r>
      <w:r w:rsidR="00285A97">
        <w:rPr>
          <w:rFonts w:ascii="Times New Roman" w:hAnsi="Times New Roman"/>
          <w:bCs/>
          <w:sz w:val="24"/>
        </w:rPr>
        <w:t>u</w:t>
      </w:r>
      <w:r w:rsidR="00363298">
        <w:rPr>
          <w:rFonts w:ascii="Times New Roman" w:hAnsi="Times New Roman"/>
          <w:bCs/>
          <w:sz w:val="24"/>
        </w:rPr>
        <w:t xml:space="preserve"> </w:t>
      </w:r>
      <w:r w:rsidR="00363298" w:rsidRPr="00363298">
        <w:rPr>
          <w:rFonts w:ascii="Times New Roman" w:hAnsi="Times New Roman"/>
          <w:bCs/>
          <w:sz w:val="24"/>
        </w:rPr>
        <w:t>cr</w:t>
      </w:r>
      <w:r w:rsidR="00363298">
        <w:rPr>
          <w:rFonts w:ascii="Times New Roman" w:hAnsi="Times New Roman"/>
          <w:bCs/>
          <w:sz w:val="24"/>
        </w:rPr>
        <w:t>istal</w:t>
      </w:r>
      <w:r>
        <w:rPr>
          <w:rFonts w:ascii="Times New Roman" w:hAnsi="Times New Roman"/>
          <w:bCs/>
          <w:sz w:val="24"/>
        </w:rPr>
        <w:t> : (a) chalcopyrite</w:t>
      </w:r>
      <w:r w:rsidR="008D3141">
        <w:rPr>
          <w:rFonts w:ascii="Times New Roman" w:hAnsi="Times New Roman"/>
          <w:bCs/>
          <w:sz w:val="24"/>
        </w:rPr>
        <w:t xml:space="preserve"> et (b) zinc blend</w:t>
      </w:r>
      <w:r w:rsidR="00285A97">
        <w:rPr>
          <w:rFonts w:ascii="Times New Roman" w:hAnsi="Times New Roman"/>
          <w:bCs/>
          <w:sz w:val="24"/>
        </w:rPr>
        <w:t>e</w:t>
      </w:r>
      <w:r w:rsidR="008D3141">
        <w:rPr>
          <w:rFonts w:ascii="Times New Roman" w:hAnsi="Times New Roman"/>
          <w:bCs/>
          <w:sz w:val="24"/>
        </w:rPr>
        <w:t xml:space="preserve">. </w:t>
      </w:r>
    </w:p>
    <w:p w:rsidR="00285A97" w:rsidRDefault="00285A97" w:rsidP="00285A97">
      <w:pPr>
        <w:spacing w:after="120" w:line="360" w:lineRule="auto"/>
        <w:ind w:left="709"/>
        <w:jc w:val="center"/>
        <w:rPr>
          <w:rFonts w:ascii="Times New Roman" w:hAnsi="Times New Roman"/>
          <w:bCs/>
          <w:sz w:val="24"/>
        </w:rPr>
      </w:pPr>
    </w:p>
    <w:p w:rsidR="00285A97" w:rsidRDefault="00285A97" w:rsidP="000B6FFA">
      <w:pPr>
        <w:spacing w:before="240" w:after="0" w:line="360" w:lineRule="auto"/>
        <w:ind w:left="709"/>
        <w:jc w:val="center"/>
        <w:rPr>
          <w:rFonts w:ascii="Times New Roman" w:hAnsi="Times New Roman"/>
          <w:iCs/>
          <w:sz w:val="24"/>
          <w:szCs w:val="24"/>
        </w:rPr>
      </w:pPr>
      <w:r w:rsidRPr="00285A97">
        <w:rPr>
          <w:rFonts w:ascii="Times New Roman" w:hAnsi="Times New Roman"/>
          <w:b/>
          <w:iCs/>
          <w:noProof/>
          <w:color w:val="FF0000"/>
          <w:sz w:val="24"/>
          <w:szCs w:val="24"/>
          <w:lang w:eastAsia="fr-FR"/>
        </w:rPr>
        <w:drawing>
          <wp:inline distT="0" distB="0" distL="0" distR="0">
            <wp:extent cx="2192962" cy="3432956"/>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2194809" cy="3435847"/>
                    </a:xfrm>
                    <a:prstGeom prst="rect">
                      <a:avLst/>
                    </a:prstGeom>
                    <a:noFill/>
                    <a:ln w="9525">
                      <a:noFill/>
                      <a:miter lim="800000"/>
                      <a:headEnd/>
                      <a:tailEnd/>
                    </a:ln>
                  </pic:spPr>
                </pic:pic>
              </a:graphicData>
            </a:graphic>
          </wp:inline>
        </w:drawing>
      </w:r>
    </w:p>
    <w:p w:rsidR="00285A97" w:rsidRPr="00816009" w:rsidRDefault="004B22C6" w:rsidP="000B6FFA">
      <w:pPr>
        <w:autoSpaceDE w:val="0"/>
        <w:autoSpaceDN w:val="0"/>
        <w:adjustRightInd w:val="0"/>
        <w:spacing w:before="120" w:after="0" w:line="240" w:lineRule="auto"/>
        <w:jc w:val="center"/>
        <w:rPr>
          <w:rFonts w:ascii="Times New Roman" w:hAnsi="Times New Roman" w:cs="Times New Roman"/>
          <w:color w:val="000000" w:themeColor="text1"/>
          <w:sz w:val="24"/>
          <w:szCs w:val="24"/>
        </w:rPr>
      </w:pPr>
      <w:r w:rsidRPr="00816009">
        <w:rPr>
          <w:rFonts w:ascii="Times New Roman" w:hAnsi="Times New Roman"/>
          <w:b/>
          <w:bCs/>
          <w:color w:val="000000" w:themeColor="text1"/>
          <w:sz w:val="24"/>
          <w:szCs w:val="24"/>
        </w:rPr>
        <w:t xml:space="preserve">Figure </w:t>
      </w:r>
      <w:r w:rsidR="005913EC" w:rsidRPr="00D70296">
        <w:rPr>
          <w:rFonts w:asciiTheme="majorBidi" w:hAnsiTheme="majorBidi" w:cstheme="majorBidi"/>
          <w:b/>
          <w:bCs/>
          <w:sz w:val="24"/>
          <w:szCs w:val="24"/>
        </w:rPr>
        <w:t>II</w:t>
      </w:r>
      <w:r w:rsidR="005913EC">
        <w:rPr>
          <w:rFonts w:ascii="Times New Roman" w:hAnsi="Times New Roman"/>
          <w:b/>
          <w:bCs/>
          <w:color w:val="000000" w:themeColor="text1"/>
          <w:sz w:val="24"/>
          <w:szCs w:val="24"/>
        </w:rPr>
        <w:t>.</w:t>
      </w:r>
      <w:r w:rsidR="00816009">
        <w:rPr>
          <w:rFonts w:ascii="Times New Roman" w:hAnsi="Times New Roman"/>
          <w:b/>
          <w:bCs/>
          <w:color w:val="000000" w:themeColor="text1"/>
          <w:sz w:val="24"/>
          <w:szCs w:val="24"/>
        </w:rPr>
        <w:t>2</w:t>
      </w:r>
      <w:r>
        <w:rPr>
          <w:rFonts w:ascii="Times New Roman" w:hAnsi="Times New Roman"/>
          <w:sz w:val="24"/>
          <w:szCs w:val="24"/>
        </w:rPr>
        <w:t> : S</w:t>
      </w:r>
      <w:r w:rsidR="00285A97" w:rsidRPr="002E70AF">
        <w:rPr>
          <w:rFonts w:ascii="Times New Roman" w:hAnsi="Times New Roman"/>
          <w:sz w:val="24"/>
          <w:szCs w:val="24"/>
        </w:rPr>
        <w:t>tructure chalcopyrite d</w:t>
      </w:r>
      <w:r>
        <w:rPr>
          <w:rFonts w:ascii="Times New Roman" w:hAnsi="Times New Roman"/>
          <w:sz w:val="24"/>
          <w:szCs w:val="24"/>
        </w:rPr>
        <w:t xml:space="preserve">u matériau </w:t>
      </w:r>
      <w:r w:rsidR="00285A97" w:rsidRPr="002E70AF">
        <w:rPr>
          <w:rFonts w:ascii="Times New Roman" w:hAnsi="Times New Roman"/>
          <w:sz w:val="24"/>
          <w:szCs w:val="24"/>
        </w:rPr>
        <w:t>CuIn</w:t>
      </w:r>
      <w:r w:rsidR="00285A97" w:rsidRPr="002E70AF">
        <w:rPr>
          <w:rFonts w:ascii="Times New Roman" w:hAnsi="Times New Roman"/>
          <w:sz w:val="24"/>
          <w:szCs w:val="24"/>
          <w:vertAlign w:val="subscript"/>
        </w:rPr>
        <w:t>0.25</w:t>
      </w:r>
      <w:r w:rsidR="00285A97" w:rsidRPr="002E70AF">
        <w:rPr>
          <w:rFonts w:ascii="Times New Roman" w:hAnsi="Times New Roman"/>
          <w:sz w:val="24"/>
          <w:szCs w:val="24"/>
        </w:rPr>
        <w:t>Ga</w:t>
      </w:r>
      <w:r w:rsidR="00285A97" w:rsidRPr="002E70AF">
        <w:rPr>
          <w:rFonts w:ascii="Times New Roman" w:hAnsi="Times New Roman"/>
          <w:sz w:val="24"/>
          <w:szCs w:val="24"/>
          <w:vertAlign w:val="subscript"/>
        </w:rPr>
        <w:t>0.</w:t>
      </w:r>
      <w:r w:rsidR="00285A97" w:rsidRPr="00816009">
        <w:rPr>
          <w:rFonts w:ascii="Times New Roman" w:hAnsi="Times New Roman"/>
          <w:color w:val="000000" w:themeColor="text1"/>
          <w:sz w:val="24"/>
          <w:szCs w:val="24"/>
          <w:vertAlign w:val="subscript"/>
        </w:rPr>
        <w:t>75</w:t>
      </w:r>
      <w:r w:rsidR="00285A97" w:rsidRPr="00816009">
        <w:rPr>
          <w:rFonts w:ascii="Times New Roman" w:hAnsi="Times New Roman"/>
          <w:color w:val="000000" w:themeColor="text1"/>
          <w:sz w:val="24"/>
          <w:szCs w:val="24"/>
        </w:rPr>
        <w:t>Se</w:t>
      </w:r>
      <w:r w:rsidR="00285A97" w:rsidRPr="00816009">
        <w:rPr>
          <w:rFonts w:ascii="Times New Roman" w:hAnsi="Times New Roman"/>
          <w:color w:val="000000" w:themeColor="text1"/>
          <w:sz w:val="24"/>
          <w:szCs w:val="24"/>
          <w:vertAlign w:val="subscript"/>
        </w:rPr>
        <w:t>2</w:t>
      </w:r>
      <w:r w:rsidR="00285A97" w:rsidRPr="00816009">
        <w:rPr>
          <w:rFonts w:ascii="Times New Roman" w:hAnsi="Times New Roman"/>
          <w:color w:val="000000" w:themeColor="text1"/>
          <w:sz w:val="24"/>
          <w:szCs w:val="24"/>
        </w:rPr>
        <w:t xml:space="preserve"> </w:t>
      </w:r>
      <w:r w:rsidR="00723A0D">
        <w:rPr>
          <w:rFonts w:ascii="Times New Roman" w:hAnsi="Times New Roman" w:cs="Times New Roman"/>
          <w:color w:val="000000" w:themeColor="text1"/>
          <w:sz w:val="24"/>
          <w:szCs w:val="24"/>
        </w:rPr>
        <w:t>[34</w:t>
      </w:r>
      <w:r w:rsidR="00285A97" w:rsidRPr="00816009">
        <w:rPr>
          <w:rFonts w:ascii="Times New Roman" w:hAnsi="Times New Roman" w:cs="Times New Roman"/>
          <w:color w:val="000000" w:themeColor="text1"/>
          <w:sz w:val="24"/>
          <w:szCs w:val="24"/>
        </w:rPr>
        <w:t>]</w:t>
      </w:r>
      <w:r w:rsidR="002E70AF" w:rsidRPr="00816009">
        <w:rPr>
          <w:rFonts w:ascii="Times New Roman" w:hAnsi="Times New Roman" w:cs="Times New Roman"/>
          <w:color w:val="000000" w:themeColor="text1"/>
          <w:sz w:val="24"/>
          <w:szCs w:val="24"/>
        </w:rPr>
        <w:t>.</w:t>
      </w:r>
    </w:p>
    <w:p w:rsidR="00285A97" w:rsidRPr="002E70AF" w:rsidRDefault="00285A97" w:rsidP="00285A97">
      <w:pPr>
        <w:autoSpaceDE w:val="0"/>
        <w:autoSpaceDN w:val="0"/>
        <w:adjustRightInd w:val="0"/>
        <w:spacing w:after="0" w:line="360" w:lineRule="auto"/>
        <w:jc w:val="both"/>
        <w:rPr>
          <w:rFonts w:ascii="Times New Roman" w:hAnsi="Times New Roman" w:cs="Times New Roman"/>
          <w:sz w:val="24"/>
          <w:szCs w:val="24"/>
        </w:rPr>
      </w:pPr>
    </w:p>
    <w:p w:rsidR="00285A97" w:rsidRDefault="00111D80" w:rsidP="000B6FFA">
      <w:pPr>
        <w:spacing w:before="120" w:after="0" w:line="360" w:lineRule="auto"/>
        <w:ind w:firstLine="567"/>
        <w:jc w:val="both"/>
        <w:rPr>
          <w:rFonts w:ascii="Times New Roman" w:hAnsi="Times New Roman"/>
          <w:sz w:val="24"/>
          <w:szCs w:val="24"/>
        </w:rPr>
      </w:pPr>
      <w:r>
        <w:rPr>
          <w:rFonts w:ascii="Times New Roman" w:hAnsi="Times New Roman"/>
          <w:sz w:val="24"/>
          <w:szCs w:val="24"/>
        </w:rPr>
        <w:lastRenderedPageBreak/>
        <w:t>Plusieurs éléments peuvent être incorporés dans le système CuInSe</w:t>
      </w:r>
      <w:r>
        <w:rPr>
          <w:rFonts w:ascii="Times New Roman" w:hAnsi="Times New Roman"/>
          <w:sz w:val="24"/>
          <w:szCs w:val="24"/>
          <w:vertAlign w:val="subscript"/>
        </w:rPr>
        <w:t>2</w:t>
      </w:r>
      <w:r>
        <w:rPr>
          <w:rFonts w:ascii="Times New Roman" w:hAnsi="Times New Roman"/>
          <w:sz w:val="24"/>
          <w:szCs w:val="24"/>
        </w:rPr>
        <w:t xml:space="preserve"> en tant qu'atomes substitutionnels isovalents et non-isovalents. C'est l’un des moyens de modifier les propriétés électroniques et structurales du matériau en raison des possibilités potentielles de ces éléments supplémentaires. Notamment, on peut modifier la structure électronique de bande, la concentration en porteurs, les réactions chimiques et les mécanismes de croissance. Un des éléments les plus prometteurs à incorporer avec succès au système ternaire CuInSe</w:t>
      </w:r>
      <w:r>
        <w:rPr>
          <w:rFonts w:ascii="Times New Roman" w:hAnsi="Times New Roman"/>
          <w:sz w:val="24"/>
          <w:szCs w:val="24"/>
          <w:vertAlign w:val="subscript"/>
        </w:rPr>
        <w:t>2</w:t>
      </w:r>
      <w:r>
        <w:rPr>
          <w:rFonts w:ascii="Times New Roman" w:hAnsi="Times New Roman"/>
          <w:sz w:val="24"/>
          <w:szCs w:val="24"/>
        </w:rPr>
        <w:t xml:space="preserve"> est le gallium. </w:t>
      </w:r>
    </w:p>
    <w:p w:rsidR="000B6FAC" w:rsidRDefault="00111D80" w:rsidP="000B6FFA">
      <w:pPr>
        <w:spacing w:before="120" w:after="0" w:line="360" w:lineRule="auto"/>
        <w:ind w:firstLine="567"/>
        <w:jc w:val="both"/>
        <w:rPr>
          <w:rFonts w:ascii="Times New Roman" w:hAnsi="Times New Roman"/>
          <w:color w:val="FF0000"/>
          <w:sz w:val="24"/>
          <w:szCs w:val="24"/>
        </w:rPr>
      </w:pPr>
      <w:r w:rsidRPr="00816009">
        <w:rPr>
          <w:rFonts w:ascii="Times New Roman" w:hAnsi="Times New Roman"/>
          <w:color w:val="000000" w:themeColor="text1"/>
          <w:sz w:val="24"/>
          <w:szCs w:val="24"/>
        </w:rPr>
        <w:t xml:space="preserve">La figure </w:t>
      </w:r>
      <w:r w:rsidR="00A76D35" w:rsidRPr="00D70296">
        <w:rPr>
          <w:rFonts w:asciiTheme="majorBidi" w:hAnsiTheme="majorBidi" w:cstheme="majorBidi"/>
          <w:b/>
          <w:bCs/>
          <w:sz w:val="24"/>
          <w:szCs w:val="24"/>
        </w:rPr>
        <w:t>II</w:t>
      </w:r>
      <w:r w:rsidR="00A76D35" w:rsidRPr="00A76D35">
        <w:rPr>
          <w:rFonts w:ascii="Times New Roman" w:hAnsi="Times New Roman"/>
          <w:b/>
          <w:color w:val="000000" w:themeColor="text1"/>
          <w:sz w:val="24"/>
          <w:szCs w:val="24"/>
        </w:rPr>
        <w:t>.</w:t>
      </w:r>
      <w:r w:rsidR="00816009" w:rsidRPr="00A76D35">
        <w:rPr>
          <w:rFonts w:ascii="Times New Roman" w:hAnsi="Times New Roman"/>
          <w:b/>
          <w:color w:val="000000" w:themeColor="text1"/>
          <w:sz w:val="24"/>
          <w:szCs w:val="24"/>
        </w:rPr>
        <w:t>3</w:t>
      </w:r>
      <w:r w:rsidRPr="00816009">
        <w:rPr>
          <w:rFonts w:ascii="Times New Roman" w:hAnsi="Times New Roman"/>
          <w:color w:val="000000" w:themeColor="text1"/>
          <w:sz w:val="24"/>
          <w:szCs w:val="24"/>
        </w:rPr>
        <w:t xml:space="preserve"> montre les variations des paramètres de maille </w:t>
      </w:r>
      <w:r w:rsidRPr="00816009">
        <w:rPr>
          <w:rFonts w:ascii="Times New Roman" w:hAnsi="Times New Roman"/>
          <w:b/>
          <w:bCs/>
          <w:color w:val="000000" w:themeColor="text1"/>
          <w:sz w:val="24"/>
          <w:szCs w:val="24"/>
        </w:rPr>
        <w:t>a</w:t>
      </w:r>
      <w:r w:rsidRPr="00816009">
        <w:rPr>
          <w:rFonts w:ascii="Times New Roman" w:hAnsi="Times New Roman"/>
          <w:color w:val="000000" w:themeColor="text1"/>
          <w:sz w:val="24"/>
          <w:szCs w:val="24"/>
        </w:rPr>
        <w:t xml:space="preserve"> et </w:t>
      </w:r>
      <w:r w:rsidRPr="00816009">
        <w:rPr>
          <w:rFonts w:ascii="Times New Roman" w:hAnsi="Times New Roman"/>
          <w:b/>
          <w:bCs/>
          <w:color w:val="000000" w:themeColor="text1"/>
          <w:sz w:val="24"/>
          <w:szCs w:val="24"/>
        </w:rPr>
        <w:t>c</w:t>
      </w:r>
      <w:r w:rsidRPr="00816009">
        <w:rPr>
          <w:rFonts w:ascii="Times New Roman" w:hAnsi="Times New Roman"/>
          <w:color w:val="000000" w:themeColor="text1"/>
          <w:sz w:val="24"/>
          <w:szCs w:val="24"/>
        </w:rPr>
        <w:t xml:space="preserve"> des couches minces de CuIn</w:t>
      </w:r>
      <w:r w:rsidRPr="00816009">
        <w:rPr>
          <w:rFonts w:ascii="Times New Roman" w:hAnsi="Times New Roman"/>
          <w:color w:val="000000" w:themeColor="text1"/>
          <w:sz w:val="24"/>
          <w:szCs w:val="24"/>
          <w:vertAlign w:val="subscript"/>
        </w:rPr>
        <w:t>1-x</w:t>
      </w:r>
      <w:r w:rsidRPr="00816009">
        <w:rPr>
          <w:rFonts w:ascii="Times New Roman" w:hAnsi="Times New Roman"/>
          <w:color w:val="000000" w:themeColor="text1"/>
          <w:sz w:val="24"/>
          <w:szCs w:val="24"/>
        </w:rPr>
        <w:t>Ga</w:t>
      </w:r>
      <w:r w:rsidRPr="00816009">
        <w:rPr>
          <w:rFonts w:ascii="Times New Roman" w:hAnsi="Times New Roman"/>
          <w:color w:val="000000" w:themeColor="text1"/>
          <w:sz w:val="24"/>
          <w:szCs w:val="24"/>
          <w:vertAlign w:val="subscript"/>
        </w:rPr>
        <w:t>x</w:t>
      </w:r>
      <w:r w:rsidRPr="00816009">
        <w:rPr>
          <w:rFonts w:ascii="Times New Roman" w:hAnsi="Times New Roman"/>
          <w:color w:val="000000" w:themeColor="text1"/>
          <w:sz w:val="24"/>
          <w:szCs w:val="24"/>
        </w:rPr>
        <w:t>Se</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diminuant quasi-linéairement, avec la composition x de Ga, suite à la substitution des atomes plus petits de </w:t>
      </w:r>
      <w:r w:rsidR="00723A0D">
        <w:rPr>
          <w:rFonts w:ascii="Times New Roman" w:hAnsi="Times New Roman"/>
          <w:color w:val="000000" w:themeColor="text1"/>
          <w:sz w:val="24"/>
          <w:szCs w:val="24"/>
        </w:rPr>
        <w:t>Ga à la place des atomes d’In [35</w:t>
      </w:r>
      <w:r w:rsidRPr="00816009">
        <w:rPr>
          <w:rFonts w:ascii="Times New Roman" w:hAnsi="Times New Roman"/>
          <w:color w:val="000000" w:themeColor="text1"/>
          <w:sz w:val="24"/>
          <w:szCs w:val="24"/>
        </w:rPr>
        <w:t>].</w:t>
      </w:r>
      <w:bookmarkStart w:id="0" w:name="_Toc88635936"/>
      <w:bookmarkStart w:id="1" w:name="_Toc88637143"/>
      <w:r w:rsidRPr="00816009">
        <w:rPr>
          <w:rFonts w:ascii="Times New Roman" w:hAnsi="Times New Roman"/>
          <w:color w:val="000000" w:themeColor="text1"/>
          <w:sz w:val="24"/>
          <w:szCs w:val="24"/>
        </w:rPr>
        <w:t xml:space="preserve"> Quand cette quasi-linéarité est respectée</w:t>
      </w:r>
      <w:r w:rsidR="00723A0D">
        <w:rPr>
          <w:rFonts w:ascii="Times New Roman" w:hAnsi="Times New Roman"/>
          <w:color w:val="000000" w:themeColor="text1"/>
          <w:sz w:val="24"/>
          <w:szCs w:val="24"/>
        </w:rPr>
        <w:t>, on dit que la loi de Vegard [36</w:t>
      </w:r>
      <w:r w:rsidRPr="00816009">
        <w:rPr>
          <w:rFonts w:ascii="Times New Roman" w:hAnsi="Times New Roman"/>
          <w:color w:val="000000" w:themeColor="text1"/>
          <w:sz w:val="24"/>
          <w:szCs w:val="24"/>
        </w:rPr>
        <w:t>] est vérifiée et par</w:t>
      </w:r>
      <w:r>
        <w:rPr>
          <w:rFonts w:ascii="Times New Roman" w:hAnsi="Times New Roman"/>
          <w:color w:val="000000"/>
          <w:sz w:val="24"/>
          <w:szCs w:val="24"/>
        </w:rPr>
        <w:t xml:space="preserve"> conséquent, ces composés </w:t>
      </w:r>
      <w:r>
        <w:rPr>
          <w:rFonts w:ascii="Times New Roman" w:hAnsi="Times New Roman"/>
          <w:sz w:val="24"/>
          <w:szCs w:val="24"/>
        </w:rPr>
        <w:t>CuIn</w:t>
      </w:r>
      <w:r>
        <w:rPr>
          <w:rFonts w:ascii="Times New Roman" w:hAnsi="Times New Roman"/>
          <w:sz w:val="24"/>
          <w:szCs w:val="24"/>
          <w:vertAlign w:val="subscript"/>
        </w:rPr>
        <w:t>1-x</w:t>
      </w:r>
      <w:r>
        <w:rPr>
          <w:rFonts w:ascii="Times New Roman" w:hAnsi="Times New Roman"/>
          <w:sz w:val="24"/>
          <w:szCs w:val="24"/>
        </w:rPr>
        <w:t>Ga</w:t>
      </w:r>
      <w:r>
        <w:rPr>
          <w:rFonts w:ascii="Times New Roman" w:hAnsi="Times New Roman"/>
          <w:sz w:val="24"/>
          <w:szCs w:val="24"/>
          <w:vertAlign w:val="subscript"/>
        </w:rPr>
        <w:t>x</w:t>
      </w:r>
      <w:r>
        <w:rPr>
          <w:rFonts w:ascii="Times New Roman" w:hAnsi="Times New Roman"/>
          <w:sz w:val="24"/>
          <w:szCs w:val="24"/>
        </w:rPr>
        <w:t>Se</w:t>
      </w:r>
      <w:r>
        <w:rPr>
          <w:rFonts w:ascii="Times New Roman" w:hAnsi="Times New Roman"/>
          <w:sz w:val="24"/>
          <w:szCs w:val="24"/>
          <w:vertAlign w:val="subscript"/>
        </w:rPr>
        <w:t>2</w:t>
      </w:r>
      <w:r>
        <w:rPr>
          <w:rFonts w:ascii="Times New Roman" w:hAnsi="Times New Roman"/>
          <w:sz w:val="24"/>
          <w:szCs w:val="24"/>
        </w:rPr>
        <w:t xml:space="preserve"> peuvent être assimilés à des solutions solides.</w:t>
      </w:r>
      <w:r>
        <w:rPr>
          <w:rFonts w:ascii="Times New Roman" w:hAnsi="Times New Roman"/>
          <w:color w:val="FF0000"/>
          <w:sz w:val="24"/>
          <w:szCs w:val="24"/>
        </w:rPr>
        <w:t xml:space="preserve"> </w:t>
      </w:r>
      <w:bookmarkEnd w:id="0"/>
      <w:bookmarkEnd w:id="1"/>
    </w:p>
    <w:p w:rsidR="004B22C6" w:rsidRDefault="004B22C6" w:rsidP="000B6FFA">
      <w:pPr>
        <w:spacing w:before="120" w:after="0" w:line="360" w:lineRule="auto"/>
        <w:jc w:val="center"/>
        <w:rPr>
          <w:rFonts w:ascii="Times New Roman" w:hAnsi="Times New Roman"/>
          <w:color w:val="000000" w:themeColor="text1"/>
          <w:sz w:val="24"/>
          <w:szCs w:val="24"/>
        </w:rPr>
      </w:pPr>
      <w:r w:rsidRPr="004B22C6">
        <w:rPr>
          <w:rFonts w:ascii="Times New Roman" w:hAnsi="Times New Roman"/>
          <w:noProof/>
          <w:color w:val="FF0000"/>
          <w:sz w:val="24"/>
          <w:szCs w:val="24"/>
          <w:lang w:eastAsia="fr-FR"/>
        </w:rPr>
        <w:drawing>
          <wp:inline distT="0" distB="0" distL="0" distR="0">
            <wp:extent cx="2885084" cy="3851491"/>
            <wp:effectExtent l="19050" t="0" r="0" b="0"/>
            <wp:docPr id="7" name="Image 12" descr="CIGS Param Maille en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GS Param Maille en X%"/>
                    <pic:cNvPicPr>
                      <a:picLocks noChangeAspect="1" noChangeArrowheads="1"/>
                    </pic:cNvPicPr>
                  </pic:nvPicPr>
                  <pic:blipFill>
                    <a:blip r:embed="rId20" cstate="print"/>
                    <a:srcRect/>
                    <a:stretch>
                      <a:fillRect/>
                    </a:stretch>
                  </pic:blipFill>
                  <pic:spPr bwMode="auto">
                    <a:xfrm>
                      <a:off x="0" y="0"/>
                      <a:ext cx="2887606" cy="3854858"/>
                    </a:xfrm>
                    <a:prstGeom prst="rect">
                      <a:avLst/>
                    </a:prstGeom>
                    <a:noFill/>
                    <a:ln w="9525">
                      <a:noFill/>
                      <a:miter lim="800000"/>
                      <a:headEnd/>
                      <a:tailEnd/>
                    </a:ln>
                  </pic:spPr>
                </pic:pic>
              </a:graphicData>
            </a:graphic>
          </wp:inline>
        </w:drawing>
      </w:r>
    </w:p>
    <w:p w:rsidR="004B22C6" w:rsidRDefault="004B22C6" w:rsidP="000B6FFA">
      <w:pPr>
        <w:spacing w:before="120" w:after="0" w:line="360" w:lineRule="auto"/>
        <w:jc w:val="center"/>
        <w:rPr>
          <w:rFonts w:ascii="Times New Roman" w:hAnsi="Times New Roman"/>
          <w:sz w:val="24"/>
          <w:szCs w:val="24"/>
        </w:rPr>
      </w:pPr>
      <w:r w:rsidRPr="00816009">
        <w:rPr>
          <w:rFonts w:ascii="Times New Roman" w:hAnsi="Times New Roman"/>
          <w:b/>
          <w:bCs/>
          <w:color w:val="000000" w:themeColor="text1"/>
          <w:sz w:val="24"/>
          <w:szCs w:val="24"/>
        </w:rPr>
        <w:t xml:space="preserve">Figure </w:t>
      </w:r>
      <w:r w:rsidR="005913EC" w:rsidRPr="00D70296">
        <w:rPr>
          <w:rFonts w:asciiTheme="majorBidi" w:hAnsiTheme="majorBidi" w:cstheme="majorBidi"/>
          <w:b/>
          <w:bCs/>
          <w:sz w:val="24"/>
          <w:szCs w:val="24"/>
        </w:rPr>
        <w:t>II</w:t>
      </w:r>
      <w:r w:rsidR="005913EC">
        <w:rPr>
          <w:rFonts w:ascii="Times New Roman" w:hAnsi="Times New Roman"/>
          <w:b/>
          <w:bCs/>
          <w:color w:val="000000" w:themeColor="text1"/>
          <w:sz w:val="24"/>
          <w:szCs w:val="24"/>
        </w:rPr>
        <w:t>.</w:t>
      </w:r>
      <w:r w:rsidR="00816009" w:rsidRPr="00816009">
        <w:rPr>
          <w:rFonts w:ascii="Times New Roman" w:hAnsi="Times New Roman"/>
          <w:b/>
          <w:bCs/>
          <w:color w:val="000000" w:themeColor="text1"/>
          <w:sz w:val="24"/>
          <w:szCs w:val="24"/>
        </w:rPr>
        <w:t>3</w:t>
      </w:r>
      <w:r w:rsidRPr="00816009">
        <w:rPr>
          <w:rFonts w:ascii="Times New Roman" w:hAnsi="Times New Roman"/>
          <w:b/>
          <w:bCs/>
          <w:color w:val="000000" w:themeColor="text1"/>
          <w:sz w:val="24"/>
          <w:szCs w:val="24"/>
        </w:rPr>
        <w:t> :</w:t>
      </w:r>
      <w:r w:rsidRPr="00816009">
        <w:rPr>
          <w:rFonts w:ascii="Times New Roman" w:hAnsi="Times New Roman"/>
          <w:color w:val="000000" w:themeColor="text1"/>
          <w:sz w:val="24"/>
          <w:szCs w:val="24"/>
        </w:rPr>
        <w:t xml:space="preserve"> Variation</w:t>
      </w:r>
      <w:r>
        <w:rPr>
          <w:rFonts w:ascii="Times New Roman" w:hAnsi="Times New Roman"/>
          <w:sz w:val="24"/>
          <w:szCs w:val="24"/>
        </w:rPr>
        <w:t xml:space="preserve"> des paramètres de maille 2a et c du CIGS en couche mince en fonction de la composition x de Ga.</w:t>
      </w:r>
    </w:p>
    <w:p w:rsidR="000B6FFA" w:rsidRDefault="000B6FFA" w:rsidP="000B6FFA">
      <w:pPr>
        <w:spacing w:before="120" w:after="0" w:line="360" w:lineRule="auto"/>
        <w:jc w:val="center"/>
        <w:rPr>
          <w:rFonts w:ascii="Times New Roman" w:hAnsi="Times New Roman"/>
          <w:sz w:val="24"/>
          <w:szCs w:val="24"/>
        </w:rPr>
      </w:pPr>
    </w:p>
    <w:p w:rsidR="000B6FFA" w:rsidRDefault="000B6FFA" w:rsidP="000B6FFA">
      <w:pPr>
        <w:spacing w:before="120" w:after="0" w:line="360" w:lineRule="auto"/>
        <w:jc w:val="center"/>
        <w:rPr>
          <w:rFonts w:ascii="Times New Roman" w:hAnsi="Times New Roman"/>
          <w:sz w:val="24"/>
          <w:szCs w:val="24"/>
        </w:rPr>
      </w:pPr>
    </w:p>
    <w:p w:rsidR="004B22C6" w:rsidRDefault="004B22C6" w:rsidP="004B22C6">
      <w:pPr>
        <w:spacing w:before="120" w:after="100" w:afterAutospacing="1" w:line="360" w:lineRule="auto"/>
        <w:ind w:firstLine="709"/>
        <w:jc w:val="center"/>
        <w:rPr>
          <w:rFonts w:ascii="Times New Roman" w:hAnsi="Times New Roman"/>
          <w:color w:val="000000" w:themeColor="text1"/>
          <w:sz w:val="24"/>
          <w:szCs w:val="24"/>
        </w:rPr>
      </w:pPr>
    </w:p>
    <w:p w:rsidR="00111D80" w:rsidRDefault="00111D80" w:rsidP="0011039E">
      <w:pPr>
        <w:pStyle w:val="2"/>
        <w:spacing w:before="240" w:line="360" w:lineRule="auto"/>
        <w:rPr>
          <w:rFonts w:ascii="Times New Roman" w:hAnsi="Times New Roman"/>
          <w:color w:val="auto"/>
          <w:sz w:val="24"/>
          <w:szCs w:val="24"/>
        </w:rPr>
      </w:pPr>
      <w:bookmarkStart w:id="2" w:name="_Toc99341715"/>
      <w:r>
        <w:rPr>
          <w:rFonts w:ascii="Times New Roman" w:hAnsi="Times New Roman"/>
          <w:color w:val="auto"/>
          <w:sz w:val="24"/>
          <w:szCs w:val="24"/>
        </w:rPr>
        <w:lastRenderedPageBreak/>
        <w:t>II.</w:t>
      </w:r>
      <w:r w:rsidR="009D479F">
        <w:rPr>
          <w:rFonts w:ascii="Times New Roman" w:hAnsi="Times New Roman"/>
          <w:color w:val="auto"/>
          <w:sz w:val="24"/>
          <w:szCs w:val="24"/>
        </w:rPr>
        <w:t>3</w:t>
      </w:r>
      <w:r w:rsidR="00D2168B">
        <w:rPr>
          <w:rFonts w:ascii="Times New Roman" w:hAnsi="Times New Roman"/>
          <w:color w:val="auto"/>
          <w:sz w:val="24"/>
          <w:szCs w:val="24"/>
        </w:rPr>
        <w:t>.</w:t>
      </w:r>
      <w:r>
        <w:rPr>
          <w:rFonts w:ascii="Times New Roman" w:hAnsi="Times New Roman"/>
          <w:color w:val="auto"/>
          <w:sz w:val="24"/>
          <w:szCs w:val="24"/>
        </w:rPr>
        <w:t xml:space="preserve"> </w:t>
      </w:r>
      <w:r w:rsidR="000D40C5">
        <w:rPr>
          <w:rFonts w:ascii="Times New Roman" w:hAnsi="Times New Roman"/>
          <w:color w:val="auto"/>
          <w:sz w:val="24"/>
          <w:szCs w:val="24"/>
        </w:rPr>
        <w:t xml:space="preserve">STRUCTURE DE BANDES D’ÉNERGIE </w:t>
      </w:r>
      <w:bookmarkEnd w:id="2"/>
    </w:p>
    <w:p w:rsidR="00111D80" w:rsidRPr="00816009" w:rsidRDefault="00111D80" w:rsidP="000B6FFA">
      <w:pPr>
        <w:spacing w:before="120"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 La structure de bandes d’énergie de CuInSe</w:t>
      </w:r>
      <w:r>
        <w:rPr>
          <w:rFonts w:ascii="Times New Roman" w:hAnsi="Times New Roman"/>
          <w:sz w:val="24"/>
          <w:szCs w:val="24"/>
          <w:vertAlign w:val="subscript"/>
        </w:rPr>
        <w:t>2</w:t>
      </w:r>
      <w:r>
        <w:rPr>
          <w:rFonts w:ascii="Times New Roman" w:hAnsi="Times New Roman"/>
          <w:sz w:val="24"/>
          <w:szCs w:val="24"/>
        </w:rPr>
        <w:t xml:space="preserve"> et des composés I-III-VI</w:t>
      </w:r>
      <w:r>
        <w:rPr>
          <w:rFonts w:ascii="Times New Roman" w:hAnsi="Times New Roman"/>
          <w:sz w:val="24"/>
          <w:szCs w:val="24"/>
          <w:vertAlign w:val="subscript"/>
        </w:rPr>
        <w:t xml:space="preserve">2 </w:t>
      </w:r>
      <w:r>
        <w:rPr>
          <w:rFonts w:ascii="Times New Roman" w:hAnsi="Times New Roman"/>
          <w:sz w:val="24"/>
          <w:szCs w:val="24"/>
        </w:rPr>
        <w:t xml:space="preserve"> représentés par la formule ABX</w:t>
      </w:r>
      <w:r>
        <w:rPr>
          <w:rFonts w:ascii="Times New Roman" w:hAnsi="Times New Roman"/>
          <w:sz w:val="24"/>
          <w:szCs w:val="24"/>
          <w:vertAlign w:val="subscript"/>
        </w:rPr>
        <w:t>2</w:t>
      </w:r>
      <w:r>
        <w:rPr>
          <w:rFonts w:ascii="Times New Roman" w:hAnsi="Times New Roman"/>
          <w:sz w:val="24"/>
          <w:szCs w:val="24"/>
        </w:rPr>
        <w:t xml:space="preserve">, se distingue de celle de ZnSe et des analogues binaires II-VI (formule : CX), par deux points </w:t>
      </w:r>
      <w:r w:rsidR="00723A0D">
        <w:rPr>
          <w:rFonts w:ascii="Times New Roman" w:hAnsi="Times New Roman"/>
          <w:color w:val="000000" w:themeColor="text1"/>
          <w:sz w:val="24"/>
          <w:szCs w:val="24"/>
        </w:rPr>
        <w:t>principaux [24</w:t>
      </w:r>
      <w:r w:rsidRPr="00816009">
        <w:rPr>
          <w:rFonts w:ascii="Times New Roman" w:hAnsi="Times New Roman"/>
          <w:color w:val="000000" w:themeColor="text1"/>
          <w:sz w:val="24"/>
          <w:szCs w:val="24"/>
        </w:rPr>
        <w:t>]:</w:t>
      </w:r>
    </w:p>
    <w:p w:rsidR="00111D80" w:rsidRDefault="00111D80" w:rsidP="002E70AF">
      <w:pPr>
        <w:pStyle w:val="a6"/>
        <w:numPr>
          <w:ilvl w:val="0"/>
          <w:numId w:val="9"/>
        </w:numPr>
        <w:spacing w:before="120" w:after="0" w:line="360" w:lineRule="auto"/>
        <w:jc w:val="both"/>
        <w:rPr>
          <w:rFonts w:ascii="Times New Roman" w:hAnsi="Times New Roman"/>
          <w:sz w:val="24"/>
          <w:szCs w:val="24"/>
        </w:rPr>
      </w:pPr>
      <w:r>
        <w:rPr>
          <w:rFonts w:ascii="Times New Roman" w:hAnsi="Times New Roman"/>
          <w:sz w:val="24"/>
          <w:szCs w:val="24"/>
        </w:rPr>
        <w:t xml:space="preserve">La maille élémentaire a une structure plus complexe avec moins d’éléments de symétrie que ses homologues II-VI, avec en particulier une distorsion des tétraèdres. </w:t>
      </w:r>
    </w:p>
    <w:p w:rsidR="00111D80" w:rsidRDefault="00111D80" w:rsidP="002E70AF">
      <w:pPr>
        <w:pStyle w:val="a6"/>
        <w:numPr>
          <w:ilvl w:val="0"/>
          <w:numId w:val="9"/>
        </w:numPr>
        <w:spacing w:before="120" w:after="0" w:line="360" w:lineRule="auto"/>
        <w:jc w:val="both"/>
        <w:rPr>
          <w:rFonts w:ascii="Times New Roman" w:hAnsi="Times New Roman"/>
          <w:sz w:val="24"/>
          <w:szCs w:val="24"/>
        </w:rPr>
      </w:pPr>
      <w:r>
        <w:rPr>
          <w:rFonts w:ascii="Times New Roman" w:hAnsi="Times New Roman"/>
          <w:sz w:val="24"/>
          <w:szCs w:val="24"/>
        </w:rPr>
        <w:t>L’intervention des orbitales « d » du cuivre dans les liaisons hybrides avec des états « s » et « p » du sélénium.</w:t>
      </w:r>
    </w:p>
    <w:p w:rsidR="00111D80" w:rsidRDefault="00111D80" w:rsidP="000B6FFA">
      <w:pPr>
        <w:pStyle w:val="a6"/>
        <w:spacing w:before="120" w:after="0" w:line="360" w:lineRule="auto"/>
        <w:ind w:left="0" w:firstLine="567"/>
        <w:jc w:val="both"/>
        <w:rPr>
          <w:rFonts w:ascii="Times New Roman" w:hAnsi="Times New Roman"/>
          <w:sz w:val="24"/>
          <w:szCs w:val="24"/>
        </w:rPr>
      </w:pPr>
      <w:r>
        <w:rPr>
          <w:rFonts w:ascii="Times New Roman" w:hAnsi="Times New Roman"/>
          <w:sz w:val="24"/>
          <w:szCs w:val="24"/>
        </w:rPr>
        <w:t>Les ternaires chalcopyrites sont donc obtenus en remplaçant le cation X du binaire CX de la structure zinc-blende par les cations A et B. Ceci permet d’associer à chaque ternaire un binaire bien spécifique, l’analogue de CuInSe</w:t>
      </w:r>
      <w:r>
        <w:rPr>
          <w:rFonts w:ascii="Times New Roman" w:hAnsi="Times New Roman"/>
          <w:sz w:val="24"/>
          <w:szCs w:val="24"/>
          <w:vertAlign w:val="subscript"/>
        </w:rPr>
        <w:t>2</w:t>
      </w:r>
      <w:r>
        <w:rPr>
          <w:rFonts w:ascii="Times New Roman" w:hAnsi="Times New Roman"/>
          <w:sz w:val="24"/>
          <w:szCs w:val="24"/>
        </w:rPr>
        <w:t xml:space="preserve"> étant le Zn</w:t>
      </w:r>
      <w:r>
        <w:rPr>
          <w:rFonts w:ascii="Times New Roman" w:hAnsi="Times New Roman"/>
          <w:sz w:val="24"/>
          <w:szCs w:val="24"/>
          <w:vertAlign w:val="subscript"/>
        </w:rPr>
        <w:t>0,5</w:t>
      </w:r>
      <w:r>
        <w:rPr>
          <w:rFonts w:ascii="Times New Roman" w:hAnsi="Times New Roman"/>
          <w:sz w:val="24"/>
          <w:szCs w:val="24"/>
        </w:rPr>
        <w:t>Cd</w:t>
      </w:r>
      <w:r>
        <w:rPr>
          <w:rFonts w:ascii="Times New Roman" w:hAnsi="Times New Roman"/>
          <w:sz w:val="24"/>
          <w:szCs w:val="24"/>
          <w:vertAlign w:val="subscript"/>
        </w:rPr>
        <w:t>0,5</w:t>
      </w:r>
      <w:r>
        <w:rPr>
          <w:rFonts w:ascii="Times New Roman" w:hAnsi="Times New Roman"/>
          <w:sz w:val="24"/>
          <w:szCs w:val="24"/>
        </w:rPr>
        <w:t>Se. La maille primitive dans le matériau chalcopyrite  (c/a= 2) est deux fois plus grande que celle du matériau zinc-blende puisque alternativement le cuivre et l’indium vont occuper les sites cubiques à faces centrées de la structure zinc-blende. Par conséquent, la première zone de Brillouin de la chalcopyrite est quatre fois plus petite que la première zone de Brillouin de la zinc-blende.</w:t>
      </w:r>
    </w:p>
    <w:p w:rsidR="00111D80" w:rsidRDefault="00111D80" w:rsidP="000B6FFA">
      <w:pPr>
        <w:spacing w:before="120" w:after="0" w:line="360" w:lineRule="auto"/>
        <w:ind w:firstLine="567"/>
        <w:jc w:val="both"/>
        <w:rPr>
          <w:rFonts w:ascii="Times New Roman" w:hAnsi="Times New Roman"/>
          <w:color w:val="00B050"/>
          <w:sz w:val="24"/>
          <w:szCs w:val="24"/>
        </w:rPr>
      </w:pPr>
      <w:r>
        <w:rPr>
          <w:rFonts w:ascii="Times New Roman" w:hAnsi="Times New Roman"/>
          <w:sz w:val="24"/>
          <w:szCs w:val="24"/>
        </w:rPr>
        <w:t>Dans la structure chalcopyrite, les sites des atomes n’ont pratiquement pas changé par rapport aux sites des atomes de la structure zinc-blende. Cependant</w:t>
      </w:r>
      <w:r w:rsidRPr="00DC303A">
        <w:rPr>
          <w:rFonts w:ascii="Times New Roman" w:hAnsi="Times New Roman"/>
          <w:sz w:val="24"/>
          <w:szCs w:val="24"/>
        </w:rPr>
        <w:t>,</w:t>
      </w:r>
      <w:r>
        <w:rPr>
          <w:rFonts w:ascii="Times New Roman" w:hAnsi="Times New Roman"/>
          <w:sz w:val="24"/>
          <w:szCs w:val="24"/>
        </w:rPr>
        <w:t xml:space="preserve"> Jaffe et </w:t>
      </w:r>
      <w:r w:rsidR="00723A0D">
        <w:rPr>
          <w:rFonts w:ascii="Times New Roman" w:hAnsi="Times New Roman"/>
          <w:color w:val="000000" w:themeColor="text1"/>
          <w:sz w:val="24"/>
          <w:szCs w:val="24"/>
        </w:rPr>
        <w:t>Zunger [36</w:t>
      </w:r>
      <w:r w:rsidRPr="00816009">
        <w:rPr>
          <w:rFonts w:ascii="Times New Roman" w:hAnsi="Times New Roman"/>
          <w:color w:val="000000" w:themeColor="text1"/>
          <w:sz w:val="24"/>
          <w:szCs w:val="24"/>
        </w:rPr>
        <w:t>] ont</w:t>
      </w:r>
      <w:r>
        <w:rPr>
          <w:rFonts w:ascii="Times New Roman" w:hAnsi="Times New Roman"/>
          <w:sz w:val="24"/>
          <w:szCs w:val="24"/>
        </w:rPr>
        <w:t xml:space="preserve"> calculé la structure électronique de six composés ternaires chalcopyrites: CuInSe</w:t>
      </w:r>
      <w:r>
        <w:rPr>
          <w:rFonts w:ascii="Times New Roman" w:hAnsi="Times New Roman"/>
          <w:sz w:val="24"/>
          <w:szCs w:val="24"/>
          <w:vertAlign w:val="subscript"/>
        </w:rPr>
        <w:t>2</w:t>
      </w:r>
      <w:r>
        <w:rPr>
          <w:rFonts w:ascii="Times New Roman" w:hAnsi="Times New Roman"/>
          <w:sz w:val="24"/>
          <w:szCs w:val="24"/>
        </w:rPr>
        <w:t>, CuAlS</w:t>
      </w:r>
      <w:r>
        <w:rPr>
          <w:rFonts w:ascii="Times New Roman" w:hAnsi="Times New Roman"/>
          <w:sz w:val="24"/>
          <w:szCs w:val="24"/>
          <w:vertAlign w:val="subscript"/>
        </w:rPr>
        <w:t>2</w:t>
      </w:r>
      <w:r>
        <w:rPr>
          <w:rFonts w:ascii="Times New Roman" w:hAnsi="Times New Roman"/>
          <w:sz w:val="24"/>
          <w:szCs w:val="24"/>
        </w:rPr>
        <w:t>, CuGaSe</w:t>
      </w:r>
      <w:r>
        <w:rPr>
          <w:rFonts w:ascii="Times New Roman" w:hAnsi="Times New Roman"/>
          <w:sz w:val="24"/>
          <w:szCs w:val="24"/>
          <w:vertAlign w:val="subscript"/>
        </w:rPr>
        <w:t>2</w:t>
      </w:r>
      <w:r>
        <w:rPr>
          <w:rFonts w:ascii="Times New Roman" w:hAnsi="Times New Roman"/>
          <w:sz w:val="24"/>
          <w:szCs w:val="24"/>
        </w:rPr>
        <w:t>, CuInS</w:t>
      </w:r>
      <w:r>
        <w:rPr>
          <w:rFonts w:ascii="Times New Roman" w:hAnsi="Times New Roman"/>
          <w:sz w:val="24"/>
          <w:szCs w:val="24"/>
          <w:vertAlign w:val="subscript"/>
        </w:rPr>
        <w:t xml:space="preserve">2 </w:t>
      </w:r>
      <w:r>
        <w:rPr>
          <w:rFonts w:ascii="Times New Roman" w:hAnsi="Times New Roman"/>
          <w:sz w:val="24"/>
          <w:szCs w:val="24"/>
        </w:rPr>
        <w:t>CuGaS</w:t>
      </w:r>
      <w:r>
        <w:rPr>
          <w:rFonts w:ascii="Times New Roman" w:hAnsi="Times New Roman"/>
          <w:sz w:val="24"/>
          <w:szCs w:val="24"/>
          <w:vertAlign w:val="subscript"/>
        </w:rPr>
        <w:t>2</w:t>
      </w:r>
      <w:r>
        <w:rPr>
          <w:rFonts w:ascii="Times New Roman" w:hAnsi="Times New Roman"/>
          <w:sz w:val="24"/>
          <w:szCs w:val="24"/>
        </w:rPr>
        <w:t xml:space="preserve"> et CuAlSe</w:t>
      </w:r>
      <w:r>
        <w:rPr>
          <w:rFonts w:ascii="Times New Roman" w:hAnsi="Times New Roman"/>
          <w:sz w:val="24"/>
          <w:szCs w:val="24"/>
          <w:vertAlign w:val="subscript"/>
        </w:rPr>
        <w:t>2</w:t>
      </w:r>
      <w:r>
        <w:rPr>
          <w:rFonts w:ascii="Times New Roman" w:hAnsi="Times New Roman"/>
          <w:sz w:val="24"/>
          <w:szCs w:val="24"/>
        </w:rPr>
        <w:t>, et ont montré que la structure chalcopyrite diffère de la structure zinc-blende par trois aspects</w:t>
      </w:r>
      <w:r>
        <w:rPr>
          <w:rFonts w:ascii="Times New Roman" w:hAnsi="Times New Roman"/>
          <w:color w:val="00B050"/>
          <w:sz w:val="24"/>
          <w:szCs w:val="24"/>
        </w:rPr>
        <w:t>:</w:t>
      </w:r>
    </w:p>
    <w:p w:rsidR="00111D80" w:rsidRDefault="00111D80" w:rsidP="000B6FFA">
      <w:pPr>
        <w:numPr>
          <w:ilvl w:val="0"/>
          <w:numId w:val="10"/>
        </w:numPr>
        <w:spacing w:before="120" w:after="0" w:line="360" w:lineRule="auto"/>
        <w:ind w:left="714" w:hanging="357"/>
        <w:jc w:val="both"/>
        <w:rPr>
          <w:rFonts w:ascii="Times New Roman" w:hAnsi="Times New Roman"/>
          <w:sz w:val="24"/>
          <w:szCs w:val="24"/>
        </w:rPr>
      </w:pPr>
      <w:r>
        <w:rPr>
          <w:rFonts w:ascii="Times New Roman" w:hAnsi="Times New Roman"/>
          <w:sz w:val="24"/>
          <w:szCs w:val="24"/>
        </w:rPr>
        <w:t>Les deux types de cations permettent d’avoir deux types de liaisons chimiques entre les premiers proches voisins, car l’anion adopte en général une position d’équilibre plus proche d’une paire que de l’autre, d’où deux distances interatomiques différentes (</w:t>
      </w:r>
      <w:r w:rsidRPr="00C446DF">
        <w:rPr>
          <w:rFonts w:ascii="Times New Roman" w:hAnsi="Times New Roman"/>
          <w:position w:val="-12"/>
          <w:sz w:val="24"/>
          <w:szCs w:val="24"/>
        </w:rPr>
        <w:object w:dxaOrig="1440" w:dyaOrig="360">
          <v:shape id="_x0000_i1031" type="#_x0000_t75" style="width:1in;height:18.35pt" o:ole="">
            <v:imagedata r:id="rId21" o:title=""/>
          </v:shape>
          <o:OLEObject Type="Embed" ProgID="Equation.3" ShapeID="_x0000_i1031" DrawAspect="Content" ObjectID="_1305984787" r:id="rId22"/>
        </w:object>
      </w:r>
      <w:r>
        <w:rPr>
          <w:rFonts w:ascii="Times New Roman" w:hAnsi="Times New Roman"/>
          <w:sz w:val="24"/>
          <w:szCs w:val="24"/>
        </w:rPr>
        <w:t xml:space="preserve">). </w:t>
      </w:r>
    </w:p>
    <w:p w:rsidR="00111D80" w:rsidRDefault="00111D80" w:rsidP="00111D80">
      <w:pPr>
        <w:pStyle w:val="a6"/>
        <w:numPr>
          <w:ilvl w:val="0"/>
          <w:numId w:val="10"/>
        </w:numPr>
        <w:spacing w:after="0" w:line="360" w:lineRule="auto"/>
        <w:ind w:left="714" w:hanging="357"/>
        <w:jc w:val="both"/>
        <w:rPr>
          <w:rFonts w:ascii="Times New Roman" w:hAnsi="Times New Roman"/>
          <w:sz w:val="24"/>
          <w:szCs w:val="24"/>
        </w:rPr>
      </w:pPr>
      <w:r>
        <w:rPr>
          <w:rFonts w:ascii="Times New Roman" w:hAnsi="Times New Roman"/>
          <w:sz w:val="24"/>
          <w:szCs w:val="24"/>
        </w:rPr>
        <w:t xml:space="preserve">La maille primitive est distordue tétragonalement avec un paramètre de distorsion </w:t>
      </w:r>
      <w:r>
        <w:rPr>
          <w:rFonts w:ascii="Times New Roman" w:hAnsi="Times New Roman"/>
          <w:sz w:val="24"/>
          <w:szCs w:val="24"/>
        </w:rPr>
        <w:sym w:font="Symbol" w:char="F068"/>
      </w:r>
      <w:r>
        <w:rPr>
          <w:rFonts w:ascii="Times New Roman" w:hAnsi="Times New Roman"/>
          <w:sz w:val="24"/>
          <w:szCs w:val="24"/>
        </w:rPr>
        <w:t xml:space="preserve">=c/2a différent de l’unité. En général on a un phénomène de compression et </w:t>
      </w:r>
      <w:r>
        <w:rPr>
          <w:rFonts w:ascii="Times New Roman" w:hAnsi="Times New Roman"/>
          <w:sz w:val="24"/>
          <w:szCs w:val="24"/>
        </w:rPr>
        <w:sym w:font="Symbol" w:char="F068"/>
      </w:r>
      <w:r>
        <w:rPr>
          <w:rFonts w:ascii="Times New Roman" w:hAnsi="Times New Roman"/>
          <w:sz w:val="24"/>
          <w:szCs w:val="24"/>
        </w:rPr>
        <w:t xml:space="preserve">&lt;1, </w:t>
      </w:r>
    </w:p>
    <w:p w:rsidR="00111D80" w:rsidRDefault="00111D80" w:rsidP="00111D80">
      <w:pPr>
        <w:pStyle w:val="a6"/>
        <w:numPr>
          <w:ilvl w:val="0"/>
          <w:numId w:val="10"/>
        </w:numPr>
        <w:spacing w:after="0" w:line="360" w:lineRule="auto"/>
        <w:ind w:left="714" w:hanging="357"/>
        <w:jc w:val="both"/>
        <w:rPr>
          <w:rFonts w:ascii="Times New Roman" w:hAnsi="Times New Roman"/>
          <w:sz w:val="24"/>
          <w:szCs w:val="24"/>
        </w:rPr>
      </w:pPr>
      <w:r>
        <w:rPr>
          <w:rFonts w:ascii="Times New Roman" w:hAnsi="Times New Roman"/>
          <w:sz w:val="24"/>
          <w:szCs w:val="24"/>
        </w:rPr>
        <w:t>Le déplacement de l’anion (Se) de sa position idéale (¼, ¼, ¼).</w:t>
      </w:r>
    </w:p>
    <w:p w:rsidR="00111D80" w:rsidRDefault="00111D80" w:rsidP="000B6FFA">
      <w:pPr>
        <w:pStyle w:val="ab"/>
        <w:spacing w:after="0" w:line="360" w:lineRule="auto"/>
        <w:ind w:firstLine="567"/>
        <w:jc w:val="both"/>
        <w:rPr>
          <w:b w:val="0"/>
          <w:sz w:val="24"/>
          <w:szCs w:val="24"/>
        </w:rPr>
      </w:pPr>
      <w:r>
        <w:rPr>
          <w:b w:val="0"/>
          <w:sz w:val="24"/>
          <w:szCs w:val="24"/>
        </w:rPr>
        <w:t xml:space="preserve">Ainsi, dans une structure chalcopyrite, les anions ne sont donc pas exactement situés sur les sites tétraédriques mais décalés d’une quantité </w:t>
      </w:r>
      <w:r>
        <w:rPr>
          <w:b w:val="0"/>
          <w:i/>
          <w:sz w:val="24"/>
          <w:szCs w:val="24"/>
        </w:rPr>
        <w:t>u</w:t>
      </w:r>
      <w:r>
        <w:rPr>
          <w:b w:val="0"/>
          <w:sz w:val="24"/>
          <w:szCs w:val="24"/>
        </w:rPr>
        <w:t xml:space="preserve">. Abrahams et </w:t>
      </w:r>
      <w:r w:rsidR="00723A0D">
        <w:rPr>
          <w:b w:val="0"/>
          <w:color w:val="000000" w:themeColor="text1"/>
          <w:sz w:val="24"/>
          <w:szCs w:val="24"/>
        </w:rPr>
        <w:t>Bernestein [38</w:t>
      </w:r>
      <w:r w:rsidRPr="00816009">
        <w:rPr>
          <w:b w:val="0"/>
          <w:color w:val="000000" w:themeColor="text1"/>
          <w:sz w:val="24"/>
          <w:szCs w:val="24"/>
        </w:rPr>
        <w:t>] ont</w:t>
      </w:r>
      <w:r>
        <w:rPr>
          <w:b w:val="0"/>
          <w:sz w:val="24"/>
          <w:szCs w:val="24"/>
        </w:rPr>
        <w:t xml:space="preserve"> proposé la relation suivante pour le calcul de la quantité </w:t>
      </w:r>
      <w:r>
        <w:rPr>
          <w:b w:val="0"/>
          <w:i/>
          <w:sz w:val="24"/>
          <w:szCs w:val="24"/>
        </w:rPr>
        <w:t>u</w:t>
      </w:r>
      <w:r>
        <w:rPr>
          <w:b w:val="0"/>
          <w:sz w:val="24"/>
          <w:szCs w:val="24"/>
        </w:rPr>
        <w:t> :</w:t>
      </w:r>
    </w:p>
    <w:tbl>
      <w:tblPr>
        <w:tblpPr w:leftFromText="141" w:rightFromText="141" w:vertAnchor="text" w:horzAnchor="margin" w:tblpY="132"/>
        <w:tblOverlap w:val="never"/>
        <w:tblW w:w="0" w:type="auto"/>
        <w:tblBorders>
          <w:insideH w:val="single" w:sz="4" w:space="0" w:color="auto"/>
        </w:tblBorders>
        <w:tblLook w:val="01E0"/>
      </w:tblPr>
      <w:tblGrid>
        <w:gridCol w:w="7883"/>
        <w:gridCol w:w="1197"/>
      </w:tblGrid>
      <w:tr w:rsidR="00664F95" w:rsidTr="00664F95">
        <w:trPr>
          <w:trHeight w:val="688"/>
        </w:trPr>
        <w:tc>
          <w:tcPr>
            <w:tcW w:w="7883" w:type="dxa"/>
            <w:vAlign w:val="center"/>
          </w:tcPr>
          <w:p w:rsidR="00664F95" w:rsidRDefault="00664F95" w:rsidP="000B6FFA">
            <w:pPr>
              <w:spacing w:before="120" w:after="0" w:line="360" w:lineRule="auto"/>
              <w:ind w:firstLine="1134"/>
              <w:rPr>
                <w:rFonts w:ascii="Times New Roman" w:hAnsi="Times New Roman"/>
                <w:sz w:val="24"/>
                <w:szCs w:val="24"/>
              </w:rPr>
            </w:pPr>
            <w:r w:rsidRPr="00C446DF">
              <w:rPr>
                <w:b/>
                <w:position w:val="-24"/>
                <w:sz w:val="24"/>
                <w:szCs w:val="24"/>
              </w:rPr>
              <w:object w:dxaOrig="2040" w:dyaOrig="620">
                <v:shape id="_x0000_i1032" type="#_x0000_t75" style="width:101.9pt;height:31.25pt" o:ole="" fillcolor="window">
                  <v:imagedata r:id="rId23" o:title=""/>
                </v:shape>
                <o:OLEObject Type="Embed" ProgID="Equation.3" ShapeID="_x0000_i1032" DrawAspect="Content" ObjectID="_1305984788" r:id="rId24"/>
              </w:object>
            </w:r>
            <w:r>
              <w:rPr>
                <w:b/>
                <w:sz w:val="24"/>
                <w:szCs w:val="24"/>
              </w:rPr>
              <w:tab/>
            </w:r>
          </w:p>
        </w:tc>
        <w:tc>
          <w:tcPr>
            <w:tcW w:w="1197" w:type="dxa"/>
            <w:vAlign w:val="center"/>
          </w:tcPr>
          <w:p w:rsidR="00664F95" w:rsidRDefault="004D419A" w:rsidP="00664F95">
            <w:pPr>
              <w:spacing w:after="0" w:line="360" w:lineRule="auto"/>
              <w:jc w:val="right"/>
              <w:rPr>
                <w:rFonts w:ascii="Times New Roman" w:hAnsi="Times New Roman"/>
                <w:sz w:val="24"/>
                <w:szCs w:val="24"/>
              </w:rPr>
            </w:pPr>
            <w:r>
              <w:rPr>
                <w:rFonts w:ascii="Times New Roman" w:hAnsi="Times New Roman"/>
                <w:sz w:val="24"/>
                <w:szCs w:val="24"/>
              </w:rPr>
              <w:t>(</w:t>
            </w:r>
            <w:r w:rsidRPr="004D419A">
              <w:rPr>
                <w:rFonts w:asciiTheme="majorHAnsi" w:eastAsiaTheme="majorEastAsia" w:hAnsiTheme="majorHAnsi" w:cstheme="majorBidi"/>
                <w:sz w:val="24"/>
                <w:szCs w:val="24"/>
              </w:rPr>
              <w:t>II</w:t>
            </w:r>
            <w:r>
              <w:rPr>
                <w:rFonts w:ascii="Times New Roman" w:hAnsi="Times New Roman"/>
                <w:sz w:val="24"/>
                <w:szCs w:val="24"/>
              </w:rPr>
              <w:t>.</w:t>
            </w:r>
            <w:r w:rsidR="00664F95">
              <w:rPr>
                <w:rFonts w:ascii="Times New Roman" w:hAnsi="Times New Roman"/>
                <w:sz w:val="24"/>
                <w:szCs w:val="24"/>
              </w:rPr>
              <w:t>1)</w:t>
            </w:r>
          </w:p>
        </w:tc>
      </w:tr>
    </w:tbl>
    <w:p w:rsidR="00111D80" w:rsidRDefault="00111D80" w:rsidP="000B6FFA">
      <w:pPr>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Le calcul des distances interatomiques impliquant cette quantité a été </w:t>
      </w:r>
      <w:r w:rsidR="00DC06C2">
        <w:rPr>
          <w:rFonts w:ascii="Times New Roman" w:hAnsi="Times New Roman"/>
          <w:sz w:val="24"/>
          <w:szCs w:val="24"/>
        </w:rPr>
        <w:t>appliquée</w:t>
      </w:r>
      <w:r>
        <w:rPr>
          <w:rFonts w:ascii="Times New Roman" w:hAnsi="Times New Roman"/>
          <w:sz w:val="24"/>
          <w:szCs w:val="24"/>
        </w:rPr>
        <w:t xml:space="preserve"> par Garbato et </w:t>
      </w:r>
      <w:r w:rsidRPr="00816009">
        <w:rPr>
          <w:rFonts w:ascii="Times New Roman" w:hAnsi="Times New Roman"/>
          <w:color w:val="000000" w:themeColor="text1"/>
          <w:sz w:val="24"/>
          <w:szCs w:val="24"/>
        </w:rPr>
        <w:t>al. [</w:t>
      </w:r>
      <w:r w:rsidR="008E7B3C">
        <w:rPr>
          <w:rFonts w:ascii="Times New Roman" w:hAnsi="Times New Roman"/>
          <w:color w:val="000000" w:themeColor="text1"/>
          <w:sz w:val="24"/>
          <w:szCs w:val="24"/>
        </w:rPr>
        <w:t>39</w:t>
      </w:r>
      <w:r w:rsidRPr="00816009">
        <w:rPr>
          <w:rFonts w:ascii="Times New Roman" w:hAnsi="Times New Roman"/>
          <w:color w:val="000000" w:themeColor="text1"/>
          <w:sz w:val="24"/>
          <w:szCs w:val="24"/>
        </w:rPr>
        <w:t>]. Chaque</w:t>
      </w:r>
      <w:r>
        <w:rPr>
          <w:rFonts w:ascii="Times New Roman" w:hAnsi="Times New Roman"/>
          <w:sz w:val="24"/>
          <w:szCs w:val="24"/>
        </w:rPr>
        <w:t xml:space="preserve"> cation (A et B) possède quatre anions X comme proches voisins et chaque anion a deux cations A et B proches voisins. Ainsi, l’anion X adopte habituellement une position d’équilibre plus proche d’une paire que l’autre d’où R</w:t>
      </w:r>
      <w:r>
        <w:rPr>
          <w:rFonts w:ascii="Times New Roman" w:hAnsi="Times New Roman"/>
          <w:sz w:val="24"/>
          <w:szCs w:val="24"/>
          <w:vertAlign w:val="subscript"/>
        </w:rPr>
        <w:t>AX</w:t>
      </w:r>
      <w:r>
        <w:rPr>
          <w:rFonts w:ascii="Times New Roman" w:hAnsi="Times New Roman"/>
          <w:sz w:val="24"/>
          <w:szCs w:val="24"/>
        </w:rPr>
        <w:t xml:space="preserve"> </w:t>
      </w:r>
      <w:r>
        <w:rPr>
          <w:rFonts w:ascii="Times New Roman" w:hAnsi="Times New Roman"/>
          <w:sz w:val="24"/>
          <w:szCs w:val="24"/>
        </w:rPr>
        <w:sym w:font="Symbol" w:char="F0B9"/>
      </w:r>
      <w:r>
        <w:rPr>
          <w:rFonts w:ascii="Times New Roman" w:hAnsi="Times New Roman"/>
          <w:sz w:val="24"/>
          <w:szCs w:val="24"/>
        </w:rPr>
        <w:t xml:space="preserve"> R</w:t>
      </w:r>
      <w:r>
        <w:rPr>
          <w:rFonts w:ascii="Times New Roman" w:hAnsi="Times New Roman"/>
          <w:sz w:val="24"/>
          <w:szCs w:val="24"/>
          <w:vertAlign w:val="subscript"/>
        </w:rPr>
        <w:t>BX</w:t>
      </w:r>
      <w:r>
        <w:rPr>
          <w:rFonts w:ascii="Times New Roman" w:hAnsi="Times New Roman"/>
          <w:sz w:val="24"/>
          <w:szCs w:val="24"/>
        </w:rPr>
        <w:t xml:space="preserve"> avec :</w:t>
      </w:r>
    </w:p>
    <w:tbl>
      <w:tblPr>
        <w:tblpPr w:leftFromText="141" w:rightFromText="141" w:vertAnchor="text" w:horzAnchor="margin" w:tblpY="47"/>
        <w:tblOverlap w:val="never"/>
        <w:tblW w:w="0" w:type="auto"/>
        <w:tblBorders>
          <w:insideH w:val="single" w:sz="4" w:space="0" w:color="auto"/>
        </w:tblBorders>
        <w:tblLook w:val="01E0"/>
      </w:tblPr>
      <w:tblGrid>
        <w:gridCol w:w="8035"/>
        <w:gridCol w:w="1220"/>
      </w:tblGrid>
      <w:tr w:rsidR="00664F95" w:rsidTr="00664F95">
        <w:trPr>
          <w:trHeight w:val="1128"/>
        </w:trPr>
        <w:tc>
          <w:tcPr>
            <w:tcW w:w="8035" w:type="dxa"/>
            <w:vAlign w:val="center"/>
          </w:tcPr>
          <w:p w:rsidR="00664F95" w:rsidRDefault="00664F95" w:rsidP="000B6FFA">
            <w:pPr>
              <w:spacing w:before="120" w:after="0" w:line="360" w:lineRule="auto"/>
              <w:ind w:firstLine="1134"/>
              <w:rPr>
                <w:rFonts w:ascii="Times New Roman" w:hAnsi="Times New Roman"/>
                <w:sz w:val="24"/>
                <w:szCs w:val="24"/>
              </w:rPr>
            </w:pPr>
            <w:r w:rsidRPr="00C446DF">
              <w:rPr>
                <w:position w:val="-40"/>
              </w:rPr>
              <w:object w:dxaOrig="2380" w:dyaOrig="920">
                <v:shape id="_x0000_i1033" type="#_x0000_t75" style="width:118.85pt;height:46.2pt" o:ole="">
                  <v:imagedata r:id="rId25" o:title=""/>
                </v:shape>
                <o:OLEObject Type="Embed" ProgID="Equation.3" ShapeID="_x0000_i1033" DrawAspect="Content" ObjectID="_1305984789" r:id="rId26"/>
              </w:object>
            </w:r>
            <w:r>
              <w:rPr>
                <w:b/>
                <w:sz w:val="24"/>
                <w:szCs w:val="24"/>
              </w:rPr>
              <w:tab/>
            </w:r>
          </w:p>
        </w:tc>
        <w:tc>
          <w:tcPr>
            <w:tcW w:w="1220" w:type="dxa"/>
            <w:vAlign w:val="center"/>
          </w:tcPr>
          <w:p w:rsidR="00664F95" w:rsidRDefault="00664F95" w:rsidP="00664F95">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 xml:space="preserve"> II</w:t>
            </w:r>
            <w:r w:rsidR="004D419A">
              <w:rPr>
                <w:rFonts w:ascii="Times New Roman" w:hAnsi="Times New Roman"/>
                <w:sz w:val="24"/>
                <w:szCs w:val="24"/>
              </w:rPr>
              <w:t>.</w:t>
            </w:r>
            <w:r>
              <w:rPr>
                <w:rFonts w:ascii="Times New Roman" w:hAnsi="Times New Roman"/>
                <w:sz w:val="24"/>
                <w:szCs w:val="24"/>
              </w:rPr>
              <w:t>2)</w:t>
            </w:r>
          </w:p>
        </w:tc>
      </w:tr>
    </w:tbl>
    <w:p w:rsidR="00111D80" w:rsidRDefault="00111D80" w:rsidP="00111D80">
      <w:pPr>
        <w:spacing w:before="240" w:after="0" w:line="360" w:lineRule="auto"/>
        <w:ind w:firstLine="709"/>
        <w:jc w:val="both"/>
        <w:rPr>
          <w:rFonts w:ascii="Times New Roman" w:hAnsi="Times New Roman"/>
          <w:sz w:val="24"/>
          <w:szCs w:val="24"/>
        </w:rPr>
      </w:pPr>
    </w:p>
    <w:tbl>
      <w:tblPr>
        <w:tblpPr w:leftFromText="141" w:rightFromText="141" w:vertAnchor="text" w:horzAnchor="margin" w:tblpY="-28"/>
        <w:tblOverlap w:val="never"/>
        <w:tblW w:w="0" w:type="auto"/>
        <w:tblBorders>
          <w:insideH w:val="single" w:sz="4" w:space="0" w:color="auto"/>
        </w:tblBorders>
        <w:tblLook w:val="01E0"/>
      </w:tblPr>
      <w:tblGrid>
        <w:gridCol w:w="7970"/>
        <w:gridCol w:w="1210"/>
      </w:tblGrid>
      <w:tr w:rsidR="00664F95" w:rsidTr="00664F95">
        <w:trPr>
          <w:trHeight w:val="1102"/>
        </w:trPr>
        <w:tc>
          <w:tcPr>
            <w:tcW w:w="7970" w:type="dxa"/>
            <w:vAlign w:val="center"/>
          </w:tcPr>
          <w:p w:rsidR="00664F95" w:rsidRDefault="00664F95" w:rsidP="000B6FFA">
            <w:pPr>
              <w:spacing w:before="120" w:after="0" w:line="360" w:lineRule="auto"/>
              <w:ind w:firstLine="1134"/>
              <w:rPr>
                <w:rFonts w:ascii="Times New Roman" w:hAnsi="Times New Roman"/>
                <w:sz w:val="24"/>
                <w:szCs w:val="24"/>
              </w:rPr>
            </w:pPr>
            <w:r w:rsidRPr="00C446DF">
              <w:rPr>
                <w:position w:val="-40"/>
              </w:rPr>
              <w:object w:dxaOrig="2880" w:dyaOrig="920">
                <v:shape id="_x0000_i1034" type="#_x0000_t75" style="width:2in;height:46.2pt" o:ole="">
                  <v:imagedata r:id="rId27" o:title=""/>
                </v:shape>
                <o:OLEObject Type="Embed" ProgID="Equation.3" ShapeID="_x0000_i1034" DrawAspect="Content" ObjectID="_1305984790" r:id="rId28"/>
              </w:object>
            </w:r>
          </w:p>
        </w:tc>
        <w:tc>
          <w:tcPr>
            <w:tcW w:w="1210" w:type="dxa"/>
            <w:vAlign w:val="center"/>
          </w:tcPr>
          <w:p w:rsidR="00664F95" w:rsidRDefault="00664F95" w:rsidP="00664F95">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 xml:space="preserve"> II</w:t>
            </w:r>
            <w:r w:rsidR="004D419A">
              <w:rPr>
                <w:rFonts w:ascii="Times New Roman" w:hAnsi="Times New Roman"/>
                <w:sz w:val="24"/>
                <w:szCs w:val="24"/>
              </w:rPr>
              <w:t>.</w:t>
            </w:r>
            <w:r>
              <w:rPr>
                <w:rFonts w:ascii="Times New Roman" w:hAnsi="Times New Roman"/>
                <w:sz w:val="24"/>
                <w:szCs w:val="24"/>
              </w:rPr>
              <w:t>3)</w:t>
            </w:r>
          </w:p>
        </w:tc>
      </w:tr>
    </w:tbl>
    <w:p w:rsidR="00111D80" w:rsidRPr="00664F95" w:rsidRDefault="00111D80" w:rsidP="000B6FFA">
      <w:pPr>
        <w:spacing w:before="120" w:after="0" w:line="360" w:lineRule="auto"/>
        <w:ind w:firstLine="567"/>
        <w:jc w:val="both"/>
      </w:pPr>
      <w:r>
        <w:rPr>
          <w:rFonts w:ascii="Times New Roman" w:hAnsi="Times New Roman"/>
          <w:sz w:val="24"/>
          <w:szCs w:val="24"/>
        </w:rPr>
        <w:t>Le modèle de structure établi à partir de cette théorie prévoit trois transitions directes A, B, et C de la bande de valence vers la bande de conduction, provenant de la levée de la dégénérescence dans la bande de valence, due à l’action du champ cristallin (</w:t>
      </w:r>
      <w:r>
        <w:rPr>
          <w:rFonts w:ascii="Times New Roman" w:hAnsi="Times New Roman"/>
          <w:sz w:val="24"/>
          <w:szCs w:val="24"/>
        </w:rPr>
        <w:sym w:font="Symbol" w:char="F044"/>
      </w:r>
      <w:r>
        <w:rPr>
          <w:rFonts w:ascii="Times New Roman" w:hAnsi="Times New Roman"/>
          <w:sz w:val="24"/>
          <w:szCs w:val="24"/>
          <w:vertAlign w:val="subscript"/>
        </w:rPr>
        <w:t>cf</w:t>
      </w:r>
      <w:r>
        <w:rPr>
          <w:rFonts w:ascii="Times New Roman" w:hAnsi="Times New Roman"/>
          <w:sz w:val="24"/>
          <w:szCs w:val="24"/>
        </w:rPr>
        <w:t xml:space="preserve">) et à l’interaction spin-orbite </w:t>
      </w:r>
      <w:r w:rsidRPr="00816009">
        <w:rPr>
          <w:rFonts w:ascii="Times New Roman" w:hAnsi="Times New Roman"/>
          <w:color w:val="000000" w:themeColor="text1"/>
          <w:position w:val="-14"/>
          <w:sz w:val="24"/>
          <w:szCs w:val="24"/>
        </w:rPr>
        <w:object w:dxaOrig="639" w:dyaOrig="400">
          <v:shape id="_x0000_i1035" type="#_x0000_t75" style="width:31.9pt;height:20.4pt" o:ole="">
            <v:imagedata r:id="rId29" o:title=""/>
          </v:shape>
          <o:OLEObject Type="Embed" ProgID="Equation.DSMT4" ShapeID="_x0000_i1035" DrawAspect="Content" ObjectID="_1305984791" r:id="rId30"/>
        </w:object>
      </w:r>
      <w:r w:rsidRPr="00816009">
        <w:rPr>
          <w:rFonts w:ascii="Times New Roman" w:hAnsi="Times New Roman"/>
          <w:color w:val="000000" w:themeColor="text1"/>
          <w:sz w:val="24"/>
          <w:szCs w:val="24"/>
        </w:rPr>
        <w:t xml:space="preserve"> (figure </w:t>
      </w:r>
      <w:r w:rsidR="00DC06C2" w:rsidRPr="00D70296">
        <w:rPr>
          <w:rFonts w:asciiTheme="majorBidi" w:hAnsiTheme="majorBidi" w:cstheme="majorBidi"/>
          <w:b/>
          <w:bCs/>
          <w:sz w:val="24"/>
          <w:szCs w:val="24"/>
        </w:rPr>
        <w:t>II</w:t>
      </w:r>
      <w:r w:rsidR="00DC06C2" w:rsidRPr="00DC06C2">
        <w:rPr>
          <w:rFonts w:ascii="Times New Roman" w:hAnsi="Times New Roman"/>
          <w:b/>
          <w:color w:val="000000" w:themeColor="text1"/>
          <w:sz w:val="24"/>
          <w:szCs w:val="24"/>
        </w:rPr>
        <w:t>.</w:t>
      </w:r>
      <w:r w:rsidR="004B22C6" w:rsidRPr="00DC06C2">
        <w:rPr>
          <w:rFonts w:ascii="Times New Roman" w:hAnsi="Times New Roman"/>
          <w:b/>
          <w:color w:val="000000" w:themeColor="text1"/>
          <w:sz w:val="24"/>
          <w:szCs w:val="24"/>
        </w:rPr>
        <w:t>4</w:t>
      </w:r>
      <w:r w:rsidR="008E7B3C">
        <w:rPr>
          <w:rFonts w:ascii="Times New Roman" w:hAnsi="Times New Roman"/>
          <w:color w:val="000000" w:themeColor="text1"/>
          <w:sz w:val="24"/>
          <w:szCs w:val="24"/>
        </w:rPr>
        <w:t>) [40</w:t>
      </w:r>
      <w:r w:rsidRPr="00816009">
        <w:rPr>
          <w:rFonts w:ascii="Times New Roman" w:hAnsi="Times New Roman"/>
          <w:color w:val="000000" w:themeColor="text1"/>
          <w:sz w:val="24"/>
          <w:szCs w:val="24"/>
        </w:rPr>
        <w:t>].</w:t>
      </w:r>
    </w:p>
    <w:p w:rsidR="00111D80" w:rsidRDefault="00111D80" w:rsidP="000B6FFA">
      <w:pPr>
        <w:pStyle w:val="ab"/>
        <w:spacing w:after="0" w:line="360" w:lineRule="auto"/>
        <w:ind w:firstLine="567"/>
        <w:jc w:val="both"/>
        <w:rPr>
          <w:b w:val="0"/>
          <w:sz w:val="24"/>
          <w:szCs w:val="24"/>
        </w:rPr>
      </w:pPr>
      <w:r>
        <w:rPr>
          <w:b w:val="0"/>
          <w:sz w:val="24"/>
          <w:szCs w:val="24"/>
        </w:rPr>
        <w:t>Une étude de CuInSe</w:t>
      </w:r>
      <w:r>
        <w:rPr>
          <w:b w:val="0"/>
          <w:sz w:val="24"/>
          <w:szCs w:val="24"/>
          <w:vertAlign w:val="subscript"/>
        </w:rPr>
        <w:t>2</w:t>
      </w:r>
      <w:r>
        <w:rPr>
          <w:b w:val="0"/>
          <w:sz w:val="24"/>
          <w:szCs w:val="24"/>
        </w:rPr>
        <w:t xml:space="preserve"> faite par </w:t>
      </w:r>
      <w:r w:rsidR="008E7B3C">
        <w:rPr>
          <w:b w:val="0"/>
          <w:color w:val="000000" w:themeColor="text1"/>
          <w:sz w:val="24"/>
          <w:szCs w:val="24"/>
        </w:rPr>
        <w:t>électroréflectance [24</w:t>
      </w:r>
      <w:r w:rsidRPr="00816009">
        <w:rPr>
          <w:b w:val="0"/>
          <w:color w:val="000000" w:themeColor="text1"/>
          <w:sz w:val="24"/>
          <w:szCs w:val="24"/>
        </w:rPr>
        <w:t xml:space="preserve">] avait prévu l’existence de ces trois niveaux et certaines valeurs des énergies de transition ont été obtenues. Une première transition directe permise (A et B) correspond à </w:t>
      </w:r>
      <w:r w:rsidRPr="00816009">
        <w:rPr>
          <w:b w:val="0"/>
          <w:i/>
          <w:color w:val="000000" w:themeColor="text1"/>
          <w:sz w:val="24"/>
          <w:szCs w:val="24"/>
        </w:rPr>
        <w:t>E</w:t>
      </w:r>
      <w:r w:rsidRPr="00816009">
        <w:rPr>
          <w:b w:val="0"/>
          <w:i/>
          <w:color w:val="000000" w:themeColor="text1"/>
          <w:sz w:val="24"/>
          <w:szCs w:val="24"/>
          <w:vertAlign w:val="subscript"/>
        </w:rPr>
        <w:t>g</w:t>
      </w:r>
      <w:r w:rsidRPr="00816009">
        <w:rPr>
          <w:b w:val="0"/>
          <w:color w:val="000000" w:themeColor="text1"/>
          <w:sz w:val="24"/>
          <w:szCs w:val="24"/>
        </w:rPr>
        <w:t xml:space="preserve"> variant de 0,98 à 1,04 eV. Dans plusieu</w:t>
      </w:r>
      <w:r w:rsidR="008E7B3C">
        <w:rPr>
          <w:b w:val="0"/>
          <w:color w:val="000000" w:themeColor="text1"/>
          <w:sz w:val="24"/>
          <w:szCs w:val="24"/>
        </w:rPr>
        <w:t>rs articles et notamment [41</w:t>
      </w:r>
      <w:r w:rsidRPr="00816009">
        <w:rPr>
          <w:b w:val="0"/>
          <w:color w:val="000000" w:themeColor="text1"/>
          <w:sz w:val="24"/>
          <w:szCs w:val="24"/>
        </w:rPr>
        <w:t>], il a été fait mention de la seconde transition (C) à des énergies plus élevées, entre 1,17 et 1,22 eV. Ces valeurs correspondent</w:t>
      </w:r>
      <w:r>
        <w:rPr>
          <w:b w:val="0"/>
          <w:sz w:val="24"/>
          <w:szCs w:val="24"/>
        </w:rPr>
        <w:t xml:space="preserve"> à </w:t>
      </w:r>
      <w:r w:rsidRPr="00C446DF">
        <w:rPr>
          <w:b w:val="0"/>
          <w:position w:val="-12"/>
          <w:sz w:val="24"/>
          <w:szCs w:val="24"/>
        </w:rPr>
        <w:object w:dxaOrig="1620" w:dyaOrig="360">
          <v:shape id="_x0000_i1036" type="#_x0000_t75" style="width:81.5pt;height:18.35pt" o:ole="">
            <v:imagedata r:id="rId31" o:title=""/>
          </v:shape>
          <o:OLEObject Type="Embed" ProgID="Equation.DSMT4" ShapeID="_x0000_i1036" DrawAspect="Content" ObjectID="_1305984792" r:id="rId32"/>
        </w:object>
      </w:r>
      <w:r>
        <w:rPr>
          <w:b w:val="0"/>
          <w:sz w:val="24"/>
          <w:szCs w:val="24"/>
        </w:rPr>
        <w:t>et</w:t>
      </w:r>
      <w:r>
        <w:rPr>
          <w:b w:val="0"/>
          <w:color w:val="00B050"/>
          <w:sz w:val="24"/>
          <w:szCs w:val="24"/>
        </w:rPr>
        <w:t xml:space="preserve"> </w:t>
      </w:r>
      <w:r w:rsidRPr="00C446DF">
        <w:rPr>
          <w:b w:val="0"/>
          <w:position w:val="-12"/>
          <w:sz w:val="24"/>
          <w:szCs w:val="24"/>
        </w:rPr>
        <w:object w:dxaOrig="1460" w:dyaOrig="360">
          <v:shape id="_x0000_i1037" type="#_x0000_t75" style="width:73.35pt;height:18.35pt" o:ole="">
            <v:imagedata r:id="rId33" o:title=""/>
          </v:shape>
          <o:OLEObject Type="Embed" ProgID="Equation.DSMT4" ShapeID="_x0000_i1037" DrawAspect="Content" ObjectID="_1305984793" r:id="rId34"/>
        </w:object>
      </w:r>
      <w:r>
        <w:rPr>
          <w:b w:val="0"/>
          <w:sz w:val="24"/>
          <w:szCs w:val="24"/>
        </w:rPr>
        <w:t xml:space="preserve">. La valeur de </w:t>
      </w:r>
      <w:r>
        <w:rPr>
          <w:b w:val="0"/>
          <w:sz w:val="24"/>
          <w:szCs w:val="24"/>
        </w:rPr>
        <w:sym w:font="Symbol" w:char="F044"/>
      </w:r>
      <w:r>
        <w:rPr>
          <w:b w:val="0"/>
          <w:sz w:val="24"/>
          <w:szCs w:val="24"/>
          <w:vertAlign w:val="subscript"/>
        </w:rPr>
        <w:t>cf</w:t>
      </w:r>
      <w:r>
        <w:rPr>
          <w:b w:val="0"/>
          <w:sz w:val="24"/>
          <w:szCs w:val="24"/>
        </w:rPr>
        <w:t xml:space="preserve"> est faible, car la compression tétragonale (2-</w:t>
      </w:r>
      <w:r>
        <w:rPr>
          <w:b w:val="0"/>
          <w:i/>
          <w:sz w:val="24"/>
          <w:szCs w:val="24"/>
        </w:rPr>
        <w:t>c/a</w:t>
      </w:r>
      <w:r>
        <w:rPr>
          <w:b w:val="0"/>
          <w:sz w:val="24"/>
          <w:szCs w:val="24"/>
        </w:rPr>
        <w:t>) est également faible.</w:t>
      </w:r>
    </w:p>
    <w:p w:rsidR="00111D80" w:rsidRDefault="00C82ACA" w:rsidP="00111D80">
      <w:pPr>
        <w:spacing w:after="120" w:line="360" w:lineRule="auto"/>
        <w:jc w:val="center"/>
        <w:rPr>
          <w:rFonts w:ascii="Times New Roman" w:hAnsi="Times New Roman"/>
          <w:color w:val="00B050"/>
          <w:sz w:val="24"/>
          <w:szCs w:val="24"/>
        </w:rPr>
      </w:pPr>
      <w:r>
        <w:rPr>
          <w:rFonts w:ascii="Times New Roman" w:hAnsi="Times New Roman"/>
          <w:color w:val="00B050"/>
          <w:sz w:val="24"/>
          <w:szCs w:val="24"/>
        </w:rPr>
      </w:r>
      <w:r>
        <w:rPr>
          <w:rFonts w:ascii="Times New Roman" w:hAnsi="Times New Roman"/>
          <w:color w:val="00B050"/>
          <w:sz w:val="24"/>
          <w:szCs w:val="24"/>
        </w:rPr>
        <w:pict>
          <v:group id="_x0000_s1026" style="width:419.9pt;height:148.5pt;mso-position-horizontal-relative:char;mso-position-vertical-relative:line" coordorigin="1701,1318" coordsize="8172,2466">
            <v:shapetype id="_x0000_t202" coordsize="21600,21600" o:spt="202" path="m,l,21600r21600,l21600,xe">
              <v:stroke joinstyle="miter"/>
              <v:path gradientshapeok="t" o:connecttype="rect"/>
            </v:shapetype>
            <v:shape id="_x0000_s1027" type="#_x0000_t202" style="position:absolute;left:6891;top:3038;width:678;height:411" stroked="f">
              <v:textbox style="mso-next-textbox:#_x0000_s1027">
                <w:txbxContent>
                  <w:p w:rsidR="00AD0DDC" w:rsidRDefault="00AD0DDC" w:rsidP="00804464">
                    <w:r>
                      <w:sym w:font="Symbol" w:char="F044"/>
                    </w:r>
                    <w:r>
                      <w:rPr>
                        <w:vertAlign w:val="subscript"/>
                      </w:rPr>
                      <w:t>so</w:t>
                    </w:r>
                  </w:p>
                </w:txbxContent>
              </v:textbox>
            </v:shape>
            <v:shape id="_x0000_s1028" type="#_x0000_t202" style="position:absolute;left:5083;top:2829;width:814;height:437" stroked="f">
              <v:textbox style="mso-next-textbox:#_x0000_s1028">
                <w:txbxContent>
                  <w:p w:rsidR="00AD0DDC" w:rsidRDefault="00AD0DDC" w:rsidP="00804464">
                    <w:r>
                      <w:sym w:font="Symbol" w:char="F044"/>
                    </w:r>
                    <w:r>
                      <w:rPr>
                        <w:vertAlign w:val="subscript"/>
                      </w:rPr>
                      <w:t>cf</w:t>
                    </w:r>
                  </w:p>
                </w:txbxContent>
              </v:textbox>
            </v:shape>
            <v:shape id="_x0000_s1029" type="#_x0000_t202" style="position:absolute;left:8645;top:2377;width:677;height:360" stroked="f">
              <v:textbox style="mso-next-textbox:#_x0000_s1029">
                <w:txbxContent>
                  <w:p w:rsidR="00AD0DDC" w:rsidRDefault="00AD0DDC" w:rsidP="00804464">
                    <w:r>
                      <w:t>C</w:t>
                    </w:r>
                  </w:p>
                </w:txbxContent>
              </v:textbox>
            </v:shape>
            <v:shape id="_x0000_s1030" type="#_x0000_t202" style="position:absolute;left:7875;top:2377;width:541;height:360" stroked="f">
              <v:textbox style="mso-next-textbox:#_x0000_s1030">
                <w:txbxContent>
                  <w:p w:rsidR="00AD0DDC" w:rsidRDefault="00AD0DDC" w:rsidP="00804464">
                    <w:r>
                      <w:t>B</w:t>
                    </w:r>
                  </w:p>
                </w:txbxContent>
              </v:textbox>
            </v:shape>
            <v:shape id="_x0000_s1031" type="#_x0000_t202" style="position:absolute;left:6875;top:2377;width:542;height:369" stroked="f">
              <v:textbox style="mso-next-textbox:#_x0000_s1031">
                <w:txbxContent>
                  <w:p w:rsidR="00AD0DDC" w:rsidRDefault="00AD0DDC" w:rsidP="00804464">
                    <w:r>
                      <w:t>A</w:t>
                    </w:r>
                  </w:p>
                </w:txbxContent>
              </v:textbox>
            </v:shape>
            <v:shape id="_x0000_s1032" type="#_x0000_t202" style="position:absolute;left:7434;top:1847;width:1840;height:475" stroked="f">
              <v:textbox style="mso-next-textbox:#_x0000_s1032">
                <w:txbxContent>
                  <w:p w:rsidR="00AD0DDC" w:rsidRDefault="00AD0DDC" w:rsidP="00804464">
                    <w:r>
                      <w:t>Spin-orbite</w:t>
                    </w:r>
                  </w:p>
                </w:txbxContent>
              </v:textbox>
            </v:shape>
            <v:shape id="_x0000_s1033" type="#_x0000_t202" style="position:absolute;left:4635;top:1491;width:1503;height:886" stroked="f">
              <v:textbox style="mso-next-textbox:#_x0000_s1033">
                <w:txbxContent>
                  <w:p w:rsidR="00AD0DDC" w:rsidRDefault="00AD0DDC" w:rsidP="00804464">
                    <w:r>
                      <w:t xml:space="preserve">Sans </w:t>
                    </w:r>
                  </w:p>
                  <w:p w:rsidR="00AD0DDC" w:rsidRDefault="00AD0DDC" w:rsidP="00804464">
                    <w:r>
                      <w:t>spin-orbite</w:t>
                    </w:r>
                  </w:p>
                </w:txbxContent>
              </v:textbox>
            </v:shape>
            <v:shape id="_x0000_s1034" type="#_x0000_t202" style="position:absolute;left:5833;top:1318;width:1945;height:370" stroked="f">
              <v:textbox style="mso-next-textbox:#_x0000_s1034">
                <w:txbxContent>
                  <w:p w:rsidR="00AD0DDC" w:rsidRDefault="00AD0DDC" w:rsidP="00804464">
                    <w:r>
                      <w:t>Chalcopyrite</w:t>
                    </w:r>
                  </w:p>
                </w:txbxContent>
              </v:textbox>
            </v:shape>
            <v:shape id="_x0000_s1035" type="#_x0000_t202" style="position:absolute;left:2690;top:1318;width:1646;height:543" stroked="f">
              <v:textbox style="mso-next-textbox:#_x0000_s1035">
                <w:txbxContent>
                  <w:p w:rsidR="00AD0DDC" w:rsidRDefault="00AD0DDC" w:rsidP="00804464">
                    <w:r>
                      <w:t>Zinc-Blende</w:t>
                    </w:r>
                  </w:p>
                </w:txbxContent>
              </v:textbox>
            </v:shape>
            <v:shape id="_x0000_s1036" type="#_x0000_t202" style="position:absolute;left:1701;top:1951;width:2340;height:588" stroked="f">
              <v:textbox style="mso-next-textbox:#_x0000_s1036">
                <w:txbxContent>
                  <w:p w:rsidR="00AD0DDC" w:rsidRDefault="00AD0DDC" w:rsidP="00804464">
                    <w:r>
                      <w:t>Bande de Conduction</w:t>
                    </w:r>
                  </w:p>
                </w:txbxContent>
              </v:textbox>
            </v:shape>
            <v:shape id="_x0000_s1037" type="#_x0000_t202" style="position:absolute;left:1881;top:2858;width:2232;height:701" stroked="f">
              <v:textbox style="mso-next-textbox:#_x0000_s1037">
                <w:txbxContent>
                  <w:p w:rsidR="00AD0DDC" w:rsidRDefault="00AD0DDC" w:rsidP="00804464">
                    <w:r>
                      <w:t>Bande de valence</w:t>
                    </w:r>
                  </w:p>
                  <w:p w:rsidR="00D5518E" w:rsidRDefault="00D5518E"/>
                </w:txbxContent>
              </v:textbox>
            </v:shape>
            <v:line id="_x0000_s1038" style="position:absolute" from="3504,2322" to="9873,2322"/>
            <v:line id="_x0000_s1039" style="position:absolute" from="3504,3034" to="4452,3034"/>
            <v:line id="_x0000_s1040" style="position:absolute" from="4452,3034" to="5266,3271"/>
            <v:line id="_x0000_s1041" style="position:absolute;rotation:-90" from="4772,2535" to="4946,3349"/>
            <v:line id="_x0000_s1042" style="position:absolute" from="5266,3271" to="5944,3271"/>
            <v:line id="_x0000_s1043" style="position:absolute" from="5944,3271" to="6756,3508" strokeweight="1pt"/>
            <v:line id="_x0000_s1044" style="position:absolute;rotation:-90" from="6263,2774" to="6436,3586"/>
            <v:line id="_x0000_s1045" style="position:absolute" from="5266,2855" to="9738,2855"/>
            <v:line id="_x0000_s1046" style="position:absolute" from="6756,3093" to="9738,3093"/>
            <v:line id="_x0000_s1047" style="position:absolute" from="6756,3508" to="9738,3508"/>
            <v:line id="_x0000_s1048" style="position:absolute" from="7298,2322" to="7298,2855" strokeweight="1pt">
              <v:stroke dashstyle="longDash" startarrow="block"/>
            </v:line>
            <v:line id="_x0000_s1049" style="position:absolute" from="9060,2322" to="9060,3508" strokeweight="1pt">
              <v:stroke dashstyle="longDash" startarrow="block"/>
            </v:line>
            <v:line id="_x0000_s1050" style="position:absolute" from="7434,3093" to="7434,3508">
              <v:stroke startarrow="block" endarrow="block"/>
            </v:line>
            <v:line id="_x0000_s1051" style="position:absolute" from="5672,2855" to="5672,3271">
              <v:stroke startarrow="block" endarrow="block"/>
            </v:line>
            <v:line id="_x0000_s1052" style="position:absolute;flip:y" from="8298,2331" to="8298,3096">
              <v:stroke dashstyle="longDash" endarrow="block"/>
            </v:line>
            <v:line id="_x0000_s1053" style="position:absolute" from="4473,1643" to="4473,3784"/>
            <v:line id="_x0000_s1054" style="position:absolute;flip:y" from="5958,1949" to="5958,3784"/>
            <w10:wrap type="none"/>
            <w10:anchorlock/>
          </v:group>
        </w:pict>
      </w:r>
    </w:p>
    <w:p w:rsidR="00111D80" w:rsidRDefault="00111D80" w:rsidP="000B6FFA">
      <w:pPr>
        <w:pStyle w:val="ab"/>
        <w:spacing w:after="0"/>
        <w:jc w:val="center"/>
        <w:rPr>
          <w:b w:val="0"/>
          <w:bCs/>
          <w:sz w:val="24"/>
          <w:szCs w:val="24"/>
        </w:rPr>
      </w:pPr>
      <w:bookmarkStart w:id="3" w:name="OLE_LINK5"/>
      <w:r w:rsidRPr="00816009">
        <w:rPr>
          <w:bCs/>
          <w:color w:val="000000" w:themeColor="text1"/>
          <w:sz w:val="24"/>
          <w:szCs w:val="24"/>
        </w:rPr>
        <w:t xml:space="preserve">Figure </w:t>
      </w:r>
      <w:bookmarkEnd w:id="3"/>
      <w:r w:rsidR="005913EC" w:rsidRPr="00D70296">
        <w:rPr>
          <w:rFonts w:asciiTheme="majorBidi" w:hAnsiTheme="majorBidi" w:cstheme="majorBidi"/>
          <w:bCs/>
          <w:sz w:val="24"/>
          <w:szCs w:val="24"/>
        </w:rPr>
        <w:t>II</w:t>
      </w:r>
      <w:r w:rsidR="005913EC">
        <w:rPr>
          <w:bCs/>
          <w:color w:val="000000" w:themeColor="text1"/>
          <w:sz w:val="24"/>
          <w:szCs w:val="24"/>
        </w:rPr>
        <w:t>.</w:t>
      </w:r>
      <w:r w:rsidR="004B22C6" w:rsidRPr="00816009">
        <w:rPr>
          <w:bCs/>
          <w:color w:val="000000" w:themeColor="text1"/>
          <w:sz w:val="24"/>
          <w:szCs w:val="24"/>
        </w:rPr>
        <w:t>4</w:t>
      </w:r>
      <w:r w:rsidRPr="00816009">
        <w:rPr>
          <w:bCs/>
          <w:color w:val="000000" w:themeColor="text1"/>
          <w:sz w:val="24"/>
          <w:szCs w:val="24"/>
        </w:rPr>
        <w:t> :</w:t>
      </w:r>
      <w:r w:rsidRPr="00816009">
        <w:rPr>
          <w:b w:val="0"/>
          <w:bCs/>
          <w:color w:val="000000" w:themeColor="text1"/>
          <w:sz w:val="24"/>
          <w:szCs w:val="24"/>
        </w:rPr>
        <w:t xml:space="preserve"> Structure</w:t>
      </w:r>
      <w:r>
        <w:rPr>
          <w:b w:val="0"/>
          <w:bCs/>
          <w:sz w:val="24"/>
          <w:szCs w:val="24"/>
        </w:rPr>
        <w:t xml:space="preserve"> de bandes d’un composé ternaire I-III-VI</w:t>
      </w:r>
      <w:r>
        <w:rPr>
          <w:b w:val="0"/>
          <w:bCs/>
          <w:sz w:val="24"/>
          <w:szCs w:val="24"/>
          <w:vertAlign w:val="subscript"/>
        </w:rPr>
        <w:t>2</w:t>
      </w:r>
      <w:r>
        <w:rPr>
          <w:b w:val="0"/>
          <w:bCs/>
          <w:sz w:val="24"/>
          <w:szCs w:val="24"/>
        </w:rPr>
        <w:t xml:space="preserve"> de structure chalcopyrite.</w:t>
      </w:r>
    </w:p>
    <w:p w:rsidR="00111D80" w:rsidRDefault="00111D80" w:rsidP="000B6FFA">
      <w:pPr>
        <w:pStyle w:val="ae"/>
        <w:spacing w:before="120" w:after="0" w:line="360" w:lineRule="auto"/>
        <w:ind w:firstLine="567"/>
        <w:jc w:val="both"/>
        <w:rPr>
          <w:rFonts w:ascii="Times New Roman" w:hAnsi="Times New Roman"/>
          <w:color w:val="000000"/>
          <w:sz w:val="24"/>
          <w:szCs w:val="24"/>
        </w:rPr>
      </w:pPr>
      <w:r>
        <w:rPr>
          <w:rFonts w:ascii="Times New Roman" w:hAnsi="Times New Roman"/>
          <w:sz w:val="24"/>
          <w:szCs w:val="24"/>
        </w:rPr>
        <w:t>Les matériaux Cu(In</w:t>
      </w:r>
      <w:r>
        <w:rPr>
          <w:rFonts w:ascii="Times New Roman" w:hAnsi="Times New Roman"/>
          <w:sz w:val="24"/>
          <w:szCs w:val="24"/>
          <w:vertAlign w:val="subscript"/>
        </w:rPr>
        <w:t>1-x</w:t>
      </w:r>
      <w:r>
        <w:rPr>
          <w:rFonts w:ascii="Times New Roman" w:hAnsi="Times New Roman"/>
          <w:sz w:val="24"/>
          <w:szCs w:val="24"/>
        </w:rPr>
        <w:t>Ga</w:t>
      </w:r>
      <w:r>
        <w:rPr>
          <w:rFonts w:ascii="Times New Roman" w:hAnsi="Times New Roman"/>
          <w:sz w:val="24"/>
          <w:szCs w:val="24"/>
          <w:vertAlign w:val="subscript"/>
        </w:rPr>
        <w:t>x</w:t>
      </w:r>
      <w:r>
        <w:rPr>
          <w:rFonts w:ascii="Times New Roman" w:hAnsi="Times New Roman"/>
          <w:sz w:val="24"/>
          <w:szCs w:val="24"/>
        </w:rPr>
        <w:t>)Se</w:t>
      </w:r>
      <w:r>
        <w:rPr>
          <w:rFonts w:ascii="Times New Roman" w:hAnsi="Times New Roman"/>
          <w:sz w:val="24"/>
          <w:szCs w:val="24"/>
          <w:vertAlign w:val="subscript"/>
        </w:rPr>
        <w:t xml:space="preserve">2 </w:t>
      </w:r>
      <w:r>
        <w:rPr>
          <w:rFonts w:ascii="Times New Roman" w:hAnsi="Times New Roman"/>
          <w:sz w:val="24"/>
          <w:szCs w:val="24"/>
        </w:rPr>
        <w:t>présentent tous un gap énergétique direct, dont la valeur est modifiée par la proportion de gallium dans le composé. L’ajout de gallium a permis de surmonter l’handicap de la faiblesse de l’énergie de gap du CuInSe</w:t>
      </w:r>
      <w:r>
        <w:rPr>
          <w:rFonts w:ascii="Times New Roman" w:hAnsi="Times New Roman"/>
          <w:sz w:val="24"/>
          <w:szCs w:val="24"/>
          <w:vertAlign w:val="subscript"/>
        </w:rPr>
        <w:t>2</w:t>
      </w:r>
      <w:r>
        <w:rPr>
          <w:rFonts w:ascii="Times New Roman" w:hAnsi="Times New Roman"/>
          <w:sz w:val="24"/>
          <w:szCs w:val="24"/>
        </w:rPr>
        <w:t xml:space="preserve"> qui limite son absorption optique. </w:t>
      </w:r>
      <w:r>
        <w:rPr>
          <w:rFonts w:ascii="Times New Roman" w:hAnsi="Times New Roman"/>
          <w:color w:val="000000"/>
          <w:sz w:val="24"/>
          <w:szCs w:val="24"/>
        </w:rPr>
        <w:t xml:space="preserve">Le schéma </w:t>
      </w:r>
      <w:r w:rsidRPr="00816009">
        <w:rPr>
          <w:rFonts w:ascii="Times New Roman" w:hAnsi="Times New Roman"/>
          <w:color w:val="000000" w:themeColor="text1"/>
          <w:sz w:val="24"/>
          <w:szCs w:val="24"/>
        </w:rPr>
        <w:t xml:space="preserve">de la figure </w:t>
      </w:r>
      <w:r w:rsidR="00DC06C2" w:rsidRPr="00D70296">
        <w:rPr>
          <w:rFonts w:asciiTheme="majorBidi" w:hAnsiTheme="majorBidi" w:cstheme="majorBidi"/>
          <w:b/>
          <w:bCs/>
          <w:sz w:val="24"/>
          <w:szCs w:val="24"/>
        </w:rPr>
        <w:t>II</w:t>
      </w:r>
      <w:r w:rsidR="00DC06C2" w:rsidRPr="00DC06C2">
        <w:rPr>
          <w:rFonts w:ascii="Times New Roman" w:hAnsi="Times New Roman"/>
          <w:b/>
          <w:color w:val="000000" w:themeColor="text1"/>
          <w:sz w:val="24"/>
          <w:szCs w:val="24"/>
        </w:rPr>
        <w:t>.</w:t>
      </w:r>
      <w:r w:rsidR="004B22C6" w:rsidRPr="00DC06C2">
        <w:rPr>
          <w:rFonts w:ascii="Times New Roman" w:hAnsi="Times New Roman"/>
          <w:b/>
          <w:color w:val="000000" w:themeColor="text1"/>
          <w:sz w:val="24"/>
          <w:szCs w:val="24"/>
        </w:rPr>
        <w:t>5</w:t>
      </w:r>
      <w:r w:rsidRPr="00816009">
        <w:rPr>
          <w:rFonts w:ascii="Times New Roman" w:hAnsi="Times New Roman"/>
          <w:color w:val="000000" w:themeColor="text1"/>
          <w:sz w:val="24"/>
          <w:szCs w:val="24"/>
        </w:rPr>
        <w:t xml:space="preserve"> montre la dépendance en</w:t>
      </w:r>
      <w:r>
        <w:rPr>
          <w:rFonts w:ascii="Times New Roman" w:hAnsi="Times New Roman"/>
          <w:sz w:val="24"/>
          <w:szCs w:val="24"/>
        </w:rPr>
        <w:t xml:space="preserve"> composition des énergies de transition dues à la première bande interdite directe dans l'alliage Cu(In</w:t>
      </w:r>
      <w:r>
        <w:rPr>
          <w:rFonts w:ascii="Times New Roman" w:hAnsi="Times New Roman"/>
          <w:sz w:val="24"/>
          <w:szCs w:val="24"/>
          <w:vertAlign w:val="subscript"/>
        </w:rPr>
        <w:t>1−x</w:t>
      </w:r>
      <w:r>
        <w:rPr>
          <w:rFonts w:ascii="Times New Roman" w:hAnsi="Times New Roman"/>
          <w:sz w:val="24"/>
          <w:szCs w:val="24"/>
        </w:rPr>
        <w:t>Ga</w:t>
      </w:r>
      <w:r>
        <w:rPr>
          <w:rFonts w:ascii="Times New Roman" w:hAnsi="Times New Roman"/>
          <w:sz w:val="24"/>
          <w:szCs w:val="24"/>
          <w:vertAlign w:val="subscript"/>
        </w:rPr>
        <w:t>x</w:t>
      </w:r>
      <w:r>
        <w:rPr>
          <w:rFonts w:ascii="Times New Roman" w:hAnsi="Times New Roman"/>
          <w:sz w:val="24"/>
          <w:szCs w:val="24"/>
        </w:rPr>
        <w:t>)Se</w:t>
      </w:r>
      <w:r>
        <w:rPr>
          <w:rFonts w:ascii="Times New Roman" w:hAnsi="Times New Roman"/>
          <w:sz w:val="24"/>
          <w:szCs w:val="24"/>
          <w:vertAlign w:val="subscript"/>
        </w:rPr>
        <w:t>2</w:t>
      </w:r>
      <w:r>
        <w:rPr>
          <w:rFonts w:ascii="Times New Roman" w:hAnsi="Times New Roman"/>
          <w:sz w:val="24"/>
          <w:szCs w:val="24"/>
        </w:rPr>
        <w:t xml:space="preserve"> </w:t>
      </w:r>
      <w:r w:rsidR="008E7B3C">
        <w:rPr>
          <w:rFonts w:ascii="Times New Roman" w:hAnsi="Times New Roman"/>
          <w:color w:val="000000" w:themeColor="text1"/>
          <w:sz w:val="24"/>
          <w:szCs w:val="24"/>
        </w:rPr>
        <w:t>[42</w:t>
      </w:r>
      <w:r w:rsidRPr="00816009">
        <w:rPr>
          <w:rFonts w:ascii="Times New Roman" w:hAnsi="Times New Roman"/>
          <w:color w:val="000000" w:themeColor="text1"/>
          <w:sz w:val="24"/>
          <w:szCs w:val="24"/>
        </w:rPr>
        <w:t>]. Cette variation est</w:t>
      </w:r>
      <w:r>
        <w:rPr>
          <w:rFonts w:ascii="Times New Roman" w:hAnsi="Times New Roman"/>
          <w:sz w:val="24"/>
          <w:szCs w:val="24"/>
        </w:rPr>
        <w:t xml:space="preserve"> stipulée linéaire.</w:t>
      </w:r>
    </w:p>
    <w:p w:rsidR="00111D80" w:rsidRDefault="00111D80" w:rsidP="00111D80">
      <w:pPr>
        <w:tabs>
          <w:tab w:val="left" w:pos="0"/>
        </w:tabs>
        <w:spacing w:after="120" w:line="360" w:lineRule="auto"/>
        <w:rPr>
          <w:rFonts w:ascii="Times New Roman" w:hAnsi="Times New Roman"/>
          <w:sz w:val="24"/>
          <w:szCs w:val="24"/>
        </w:rPr>
      </w:pPr>
      <w:r>
        <w:rPr>
          <w:noProof/>
          <w:lang w:eastAsia="fr-FR"/>
        </w:rPr>
        <w:drawing>
          <wp:anchor distT="0" distB="0" distL="114300" distR="114300" simplePos="0" relativeHeight="251660288" behindDoc="1" locked="0" layoutInCell="1" allowOverlap="1">
            <wp:simplePos x="0" y="0"/>
            <wp:positionH relativeFrom="column">
              <wp:posOffset>563245</wp:posOffset>
            </wp:positionH>
            <wp:positionV relativeFrom="paragraph">
              <wp:posOffset>162560</wp:posOffset>
            </wp:positionV>
            <wp:extent cx="4632960" cy="2754630"/>
            <wp:effectExtent l="19050" t="0" r="0" b="0"/>
            <wp:wrapTight wrapText="bothSides">
              <wp:wrapPolygon edited="0">
                <wp:start x="-89" y="0"/>
                <wp:lineTo x="-89" y="21510"/>
                <wp:lineTo x="21582" y="21510"/>
                <wp:lineTo x="21582" y="0"/>
                <wp:lineTo x="-89" y="0"/>
              </wp:wrapPolygon>
            </wp:wrapTight>
            <wp:docPr id="2" name="Image 31" descr="Gap on composition CI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ap on composition CIGS"/>
                    <pic:cNvPicPr>
                      <a:picLocks noChangeAspect="1" noChangeArrowheads="1"/>
                    </pic:cNvPicPr>
                  </pic:nvPicPr>
                  <pic:blipFill>
                    <a:blip r:embed="rId35" cstate="print"/>
                    <a:srcRect/>
                    <a:stretch>
                      <a:fillRect/>
                    </a:stretch>
                  </pic:blipFill>
                  <pic:spPr bwMode="auto">
                    <a:xfrm>
                      <a:off x="0" y="0"/>
                      <a:ext cx="4632960" cy="2754630"/>
                    </a:xfrm>
                    <a:prstGeom prst="rect">
                      <a:avLst/>
                    </a:prstGeom>
                    <a:noFill/>
                    <a:ln w="9525">
                      <a:noFill/>
                      <a:miter lim="800000"/>
                      <a:headEnd/>
                      <a:tailEnd/>
                    </a:ln>
                  </pic:spPr>
                </pic:pic>
              </a:graphicData>
            </a:graphic>
          </wp:anchor>
        </w:drawing>
      </w: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tabs>
          <w:tab w:val="left" w:pos="0"/>
        </w:tabs>
        <w:spacing w:after="120" w:line="360" w:lineRule="auto"/>
        <w:rPr>
          <w:rFonts w:ascii="Times New Roman" w:hAnsi="Times New Roman"/>
          <w:sz w:val="24"/>
          <w:szCs w:val="24"/>
        </w:rPr>
      </w:pPr>
    </w:p>
    <w:p w:rsidR="00111D80" w:rsidRDefault="00111D80" w:rsidP="00111D80">
      <w:pPr>
        <w:pStyle w:val="ae"/>
        <w:spacing w:line="360" w:lineRule="auto"/>
        <w:ind w:firstLine="709"/>
      </w:pPr>
    </w:p>
    <w:p w:rsidR="00111D80" w:rsidRDefault="00111D80" w:rsidP="00111D80">
      <w:pPr>
        <w:pStyle w:val="ab"/>
        <w:spacing w:before="240"/>
        <w:jc w:val="center"/>
        <w:rPr>
          <w:color w:val="FF0000"/>
          <w:sz w:val="24"/>
        </w:rPr>
      </w:pPr>
    </w:p>
    <w:p w:rsidR="00111D80" w:rsidRDefault="00111D80" w:rsidP="000B6FFA">
      <w:pPr>
        <w:pStyle w:val="ab"/>
        <w:spacing w:after="0"/>
        <w:jc w:val="center"/>
        <w:rPr>
          <w:b w:val="0"/>
          <w:bCs/>
          <w:sz w:val="24"/>
        </w:rPr>
      </w:pPr>
      <w:r w:rsidRPr="00816009">
        <w:rPr>
          <w:color w:val="000000" w:themeColor="text1"/>
          <w:sz w:val="24"/>
        </w:rPr>
        <w:t xml:space="preserve">Figure </w:t>
      </w:r>
      <w:r w:rsidR="005913EC" w:rsidRPr="00D70296">
        <w:rPr>
          <w:rFonts w:asciiTheme="majorBidi" w:hAnsiTheme="majorBidi" w:cstheme="majorBidi"/>
          <w:bCs/>
          <w:sz w:val="24"/>
          <w:szCs w:val="24"/>
        </w:rPr>
        <w:t>II</w:t>
      </w:r>
      <w:r w:rsidR="005913EC">
        <w:rPr>
          <w:color w:val="000000" w:themeColor="text1"/>
          <w:sz w:val="24"/>
        </w:rPr>
        <w:t>.</w:t>
      </w:r>
      <w:r w:rsidR="004B22C6" w:rsidRPr="00816009">
        <w:rPr>
          <w:color w:val="000000" w:themeColor="text1"/>
          <w:sz w:val="24"/>
        </w:rPr>
        <w:t>5</w:t>
      </w:r>
      <w:r w:rsidRPr="00816009">
        <w:rPr>
          <w:color w:val="000000" w:themeColor="text1"/>
          <w:sz w:val="24"/>
        </w:rPr>
        <w:t xml:space="preserve"> : </w:t>
      </w:r>
      <w:r w:rsidRPr="00816009">
        <w:rPr>
          <w:b w:val="0"/>
          <w:bCs/>
          <w:color w:val="000000" w:themeColor="text1"/>
          <w:sz w:val="24"/>
        </w:rPr>
        <w:t>Dépendance en composition</w:t>
      </w:r>
      <w:r>
        <w:rPr>
          <w:b w:val="0"/>
          <w:bCs/>
          <w:sz w:val="24"/>
        </w:rPr>
        <w:t xml:space="preserve"> des énergies de transition dues à la première bande interdite directe dans l'alliage Cu(In</w:t>
      </w:r>
      <w:r>
        <w:rPr>
          <w:b w:val="0"/>
          <w:bCs/>
          <w:sz w:val="24"/>
          <w:vertAlign w:val="subscript"/>
        </w:rPr>
        <w:t>1−x</w:t>
      </w:r>
      <w:r>
        <w:rPr>
          <w:b w:val="0"/>
          <w:bCs/>
          <w:sz w:val="24"/>
        </w:rPr>
        <w:t>Ga</w:t>
      </w:r>
      <w:r>
        <w:rPr>
          <w:b w:val="0"/>
          <w:bCs/>
          <w:sz w:val="24"/>
          <w:vertAlign w:val="subscript"/>
        </w:rPr>
        <w:t>x</w:t>
      </w:r>
      <w:r w:rsidR="00664F95">
        <w:rPr>
          <w:b w:val="0"/>
          <w:bCs/>
          <w:sz w:val="24"/>
        </w:rPr>
        <w:t>) Se</w:t>
      </w:r>
      <w:r w:rsidR="00664F95" w:rsidRPr="00664F95">
        <w:rPr>
          <w:b w:val="0"/>
          <w:bCs/>
          <w:sz w:val="24"/>
          <w:vertAlign w:val="subscript"/>
        </w:rPr>
        <w:t>2</w:t>
      </w:r>
      <w:r>
        <w:rPr>
          <w:b w:val="0"/>
          <w:bCs/>
          <w:sz w:val="24"/>
        </w:rPr>
        <w:t>.</w:t>
      </w:r>
    </w:p>
    <w:p w:rsidR="00111D80" w:rsidRDefault="00111D80" w:rsidP="00111D80">
      <w:pPr>
        <w:spacing w:after="0" w:line="360" w:lineRule="auto"/>
        <w:ind w:firstLine="709"/>
        <w:jc w:val="both"/>
        <w:rPr>
          <w:rFonts w:ascii="Times New Roman" w:hAnsi="Times New Roman"/>
          <w:color w:val="000000"/>
          <w:sz w:val="24"/>
          <w:szCs w:val="24"/>
          <w:lang w:eastAsia="zh-CN"/>
        </w:rPr>
      </w:pPr>
    </w:p>
    <w:p w:rsidR="00111D80" w:rsidRPr="00816009" w:rsidRDefault="00111D80" w:rsidP="000B6FFA">
      <w:pPr>
        <w:spacing w:before="120" w:after="0" w:line="360" w:lineRule="auto"/>
        <w:ind w:firstLine="567"/>
        <w:jc w:val="both"/>
        <w:rPr>
          <w:rFonts w:ascii="Times New Roman" w:hAnsi="Times New Roman"/>
          <w:color w:val="000000" w:themeColor="text1"/>
          <w:sz w:val="24"/>
          <w:szCs w:val="24"/>
          <w:lang w:eastAsia="zh-CN"/>
        </w:rPr>
      </w:pPr>
      <w:r>
        <w:rPr>
          <w:rFonts w:ascii="Times New Roman" w:hAnsi="Times New Roman"/>
          <w:color w:val="000000"/>
          <w:sz w:val="24"/>
          <w:szCs w:val="24"/>
          <w:lang w:eastAsia="zh-CN"/>
        </w:rPr>
        <w:t>La bande interdite du CIGS est influencée par le taux de concentration [Ga]/[In] mais aussi par la teneur en Cu. Des mesures effectuées de l’énergie de la bande interdite du CuInSe</w:t>
      </w:r>
      <w:r>
        <w:rPr>
          <w:rFonts w:ascii="Times New Roman" w:hAnsi="Times New Roman"/>
          <w:color w:val="000000"/>
          <w:sz w:val="24"/>
          <w:szCs w:val="24"/>
          <w:vertAlign w:val="subscript"/>
          <w:lang w:eastAsia="zh-CN"/>
        </w:rPr>
        <w:t>2</w:t>
      </w:r>
      <w:r>
        <w:rPr>
          <w:rFonts w:ascii="Times New Roman" w:hAnsi="Times New Roman"/>
          <w:color w:val="000000"/>
          <w:sz w:val="24"/>
          <w:szCs w:val="24"/>
          <w:lang w:eastAsia="zh-CN"/>
        </w:rPr>
        <w:t xml:space="preserve"> ont montré une valeur autour de 1.01 eV à la température </w:t>
      </w:r>
      <w:r w:rsidRPr="00816009">
        <w:rPr>
          <w:rFonts w:ascii="Times New Roman" w:hAnsi="Times New Roman"/>
          <w:color w:val="000000" w:themeColor="text1"/>
          <w:sz w:val="24"/>
          <w:szCs w:val="24"/>
          <w:lang w:eastAsia="zh-CN"/>
        </w:rPr>
        <w:t>ambiante. La largeur de la bande interdite du CuGaSe</w:t>
      </w:r>
      <w:r w:rsidRPr="00816009">
        <w:rPr>
          <w:rFonts w:ascii="Times New Roman" w:hAnsi="Times New Roman"/>
          <w:color w:val="000000" w:themeColor="text1"/>
          <w:sz w:val="24"/>
          <w:szCs w:val="24"/>
          <w:vertAlign w:val="subscript"/>
          <w:lang w:eastAsia="zh-CN"/>
        </w:rPr>
        <w:t>2</w:t>
      </w:r>
      <w:r w:rsidRPr="00816009">
        <w:rPr>
          <w:rFonts w:ascii="Times New Roman" w:hAnsi="Times New Roman"/>
          <w:color w:val="000000" w:themeColor="text1"/>
          <w:sz w:val="24"/>
          <w:szCs w:val="24"/>
          <w:lang w:eastAsia="zh-CN"/>
        </w:rPr>
        <w:t xml:space="preserve"> (CGS) est</w:t>
      </w:r>
      <w:r w:rsidR="008E7B3C">
        <w:rPr>
          <w:rFonts w:ascii="Times New Roman" w:hAnsi="Times New Roman"/>
          <w:color w:val="000000" w:themeColor="text1"/>
          <w:sz w:val="24"/>
          <w:szCs w:val="24"/>
          <w:lang w:eastAsia="zh-CN"/>
        </w:rPr>
        <w:t xml:space="preserve"> approximativement de 1.65 eV [43</w:t>
      </w:r>
      <w:r w:rsidRPr="00816009">
        <w:rPr>
          <w:rFonts w:ascii="Times New Roman" w:hAnsi="Times New Roman"/>
          <w:color w:val="000000" w:themeColor="text1"/>
          <w:sz w:val="24"/>
          <w:szCs w:val="24"/>
          <w:lang w:eastAsia="zh-CN"/>
        </w:rPr>
        <w:t xml:space="preserve">]. Ainsi, la bande interdite du CIGS peut varier entre les valeurs de ces deux composés. La dépendance de </w:t>
      </w:r>
      <w:r w:rsidRPr="00816009">
        <w:rPr>
          <w:rFonts w:ascii="Times New Roman" w:hAnsi="Times New Roman"/>
          <w:color w:val="000000" w:themeColor="text1"/>
          <w:sz w:val="24"/>
          <w:szCs w:val="24"/>
          <w:lang w:eastAsia="zh-CN"/>
        </w:rPr>
        <w:lastRenderedPageBreak/>
        <w:t>l’énergie de la bande interdite du CIGS en fonction de la</w:t>
      </w:r>
      <w:r w:rsidR="008E7B3C">
        <w:rPr>
          <w:rFonts w:ascii="Times New Roman" w:hAnsi="Times New Roman"/>
          <w:color w:val="000000" w:themeColor="text1"/>
          <w:sz w:val="24"/>
          <w:szCs w:val="24"/>
          <w:lang w:eastAsia="zh-CN"/>
        </w:rPr>
        <w:t xml:space="preserve"> concentration est donnée par [43,44</w:t>
      </w:r>
      <w:r w:rsidRPr="00816009">
        <w:rPr>
          <w:rFonts w:ascii="Times New Roman" w:hAnsi="Times New Roman"/>
          <w:color w:val="000000" w:themeColor="text1"/>
          <w:sz w:val="24"/>
          <w:szCs w:val="24"/>
          <w:lang w:eastAsia="zh-CN"/>
        </w:rPr>
        <w:t>]:</w:t>
      </w:r>
    </w:p>
    <w:tbl>
      <w:tblPr>
        <w:tblpPr w:leftFromText="141" w:rightFromText="141" w:vertAnchor="text" w:horzAnchor="margin" w:tblpY="36"/>
        <w:tblOverlap w:val="never"/>
        <w:tblW w:w="0" w:type="auto"/>
        <w:tblBorders>
          <w:insideH w:val="single" w:sz="4" w:space="0" w:color="auto"/>
        </w:tblBorders>
        <w:tblLook w:val="01E0"/>
      </w:tblPr>
      <w:tblGrid>
        <w:gridCol w:w="7958"/>
        <w:gridCol w:w="1209"/>
      </w:tblGrid>
      <w:tr w:rsidR="00664F95" w:rsidTr="00664F95">
        <w:trPr>
          <w:trHeight w:val="564"/>
        </w:trPr>
        <w:tc>
          <w:tcPr>
            <w:tcW w:w="7958" w:type="dxa"/>
            <w:vAlign w:val="center"/>
          </w:tcPr>
          <w:p w:rsidR="00664F95" w:rsidRDefault="00664F95" w:rsidP="000B6FFA">
            <w:pPr>
              <w:spacing w:before="120" w:after="0" w:line="360" w:lineRule="auto"/>
              <w:ind w:firstLine="1134"/>
              <w:rPr>
                <w:rFonts w:ascii="Times New Roman" w:hAnsi="Times New Roman"/>
                <w:sz w:val="24"/>
                <w:szCs w:val="24"/>
              </w:rPr>
            </w:pPr>
            <w:r w:rsidRPr="00C446DF">
              <w:rPr>
                <w:color w:val="000000"/>
                <w:position w:val="-14"/>
                <w:lang w:eastAsia="zh-CN"/>
              </w:rPr>
              <w:object w:dxaOrig="3840" w:dyaOrig="400">
                <v:shape id="_x0000_i1038" type="#_x0000_t75" style="width:191.55pt;height:20.4pt" o:ole="">
                  <v:imagedata r:id="rId36" o:title=""/>
                </v:shape>
                <o:OLEObject Type="Embed" ProgID="Equation.3" ShapeID="_x0000_i1038" DrawAspect="Content" ObjectID="_1305984794" r:id="rId37"/>
              </w:object>
            </w:r>
          </w:p>
        </w:tc>
        <w:tc>
          <w:tcPr>
            <w:tcW w:w="1209" w:type="dxa"/>
            <w:vAlign w:val="center"/>
          </w:tcPr>
          <w:p w:rsidR="00664F95" w:rsidRDefault="004D419A" w:rsidP="00664F95">
            <w:pPr>
              <w:spacing w:after="0" w:line="360" w:lineRule="auto"/>
              <w:jc w:val="right"/>
              <w:rPr>
                <w:rFonts w:ascii="Times New Roman" w:hAnsi="Times New Roman"/>
                <w:sz w:val="24"/>
                <w:szCs w:val="24"/>
              </w:rPr>
            </w:pPr>
            <w:r>
              <w:rPr>
                <w:rFonts w:ascii="Times New Roman" w:hAnsi="Times New Roman"/>
                <w:sz w:val="24"/>
                <w:szCs w:val="24"/>
              </w:rPr>
              <w:t>(</w:t>
            </w:r>
            <w:r w:rsidRPr="004D419A">
              <w:rPr>
                <w:rFonts w:asciiTheme="majorHAnsi" w:eastAsiaTheme="majorEastAsia" w:hAnsiTheme="majorHAnsi" w:cstheme="majorBidi"/>
                <w:sz w:val="24"/>
                <w:szCs w:val="24"/>
              </w:rPr>
              <w:t>II.4</w:t>
            </w:r>
            <w:r w:rsidR="00664F95">
              <w:rPr>
                <w:rFonts w:ascii="Times New Roman" w:hAnsi="Times New Roman"/>
                <w:sz w:val="24"/>
                <w:szCs w:val="24"/>
              </w:rPr>
              <w:t>)</w:t>
            </w:r>
          </w:p>
        </w:tc>
      </w:tr>
    </w:tbl>
    <w:p w:rsidR="00111D80" w:rsidRDefault="00664F95" w:rsidP="000B6FFA">
      <w:pPr>
        <w:spacing w:before="120" w:after="0" w:line="360" w:lineRule="auto"/>
        <w:jc w:val="both"/>
        <w:rPr>
          <w:rFonts w:ascii="Times New Roman" w:hAnsi="Times New Roman"/>
          <w:color w:val="000000"/>
          <w:sz w:val="24"/>
          <w:szCs w:val="24"/>
          <w:lang w:eastAsia="zh-CN"/>
        </w:rPr>
      </w:pPr>
      <w:r>
        <w:rPr>
          <w:rFonts w:ascii="Times New Roman" w:hAnsi="Times New Roman"/>
          <w:color w:val="000000"/>
          <w:sz w:val="24"/>
          <w:szCs w:val="24"/>
          <w:lang w:eastAsia="zh-CN"/>
        </w:rPr>
        <w:t>Soit</w:t>
      </w:r>
      <w:r w:rsidR="00111D80">
        <w:rPr>
          <w:rFonts w:ascii="Times New Roman" w:hAnsi="Times New Roman"/>
          <w:color w:val="000000"/>
          <w:sz w:val="24"/>
          <w:szCs w:val="24"/>
          <w:lang w:eastAsia="zh-CN"/>
        </w:rPr>
        <w:t> :</w:t>
      </w:r>
    </w:p>
    <w:tbl>
      <w:tblPr>
        <w:tblpPr w:leftFromText="141" w:rightFromText="141" w:vertAnchor="text" w:horzAnchor="margin" w:tblpY="158"/>
        <w:tblOverlap w:val="never"/>
        <w:tblW w:w="0" w:type="auto"/>
        <w:tblBorders>
          <w:insideH w:val="single" w:sz="4" w:space="0" w:color="auto"/>
        </w:tblBorders>
        <w:tblLook w:val="01E0"/>
      </w:tblPr>
      <w:tblGrid>
        <w:gridCol w:w="7970"/>
        <w:gridCol w:w="1210"/>
      </w:tblGrid>
      <w:tr w:rsidR="00664F95" w:rsidTr="00664F95">
        <w:trPr>
          <w:trHeight w:val="538"/>
        </w:trPr>
        <w:tc>
          <w:tcPr>
            <w:tcW w:w="7970" w:type="dxa"/>
            <w:vAlign w:val="center"/>
          </w:tcPr>
          <w:p w:rsidR="00664F95" w:rsidRDefault="00664F95" w:rsidP="000B6FFA">
            <w:pPr>
              <w:spacing w:before="120" w:after="0" w:line="360" w:lineRule="auto"/>
              <w:ind w:firstLine="1134"/>
              <w:rPr>
                <w:rFonts w:ascii="Times New Roman" w:hAnsi="Times New Roman"/>
                <w:sz w:val="24"/>
                <w:szCs w:val="24"/>
              </w:rPr>
            </w:pPr>
            <w:r w:rsidRPr="00C446DF">
              <w:rPr>
                <w:color w:val="000000"/>
                <w:position w:val="-14"/>
                <w:lang w:eastAsia="zh-CN"/>
              </w:rPr>
              <w:object w:dxaOrig="4260" w:dyaOrig="400">
                <v:shape id="_x0000_i1039" type="#_x0000_t75" style="width:212.6pt;height:20.4pt" o:ole="">
                  <v:imagedata r:id="rId38" o:title=""/>
                </v:shape>
                <o:OLEObject Type="Embed" ProgID="Equation.3" ShapeID="_x0000_i1039" DrawAspect="Content" ObjectID="_1305984795" r:id="rId39"/>
              </w:object>
            </w:r>
          </w:p>
        </w:tc>
        <w:tc>
          <w:tcPr>
            <w:tcW w:w="1210" w:type="dxa"/>
            <w:vAlign w:val="center"/>
          </w:tcPr>
          <w:p w:rsidR="00664F95" w:rsidRDefault="004D419A" w:rsidP="00664F95">
            <w:pPr>
              <w:spacing w:after="0" w:line="360" w:lineRule="auto"/>
              <w:jc w:val="right"/>
              <w:rPr>
                <w:rFonts w:ascii="Times New Roman" w:hAnsi="Times New Roman"/>
                <w:sz w:val="24"/>
                <w:szCs w:val="24"/>
              </w:rPr>
            </w:pPr>
            <w:r>
              <w:rPr>
                <w:rFonts w:ascii="Times New Roman" w:hAnsi="Times New Roman"/>
                <w:sz w:val="24"/>
                <w:szCs w:val="24"/>
              </w:rPr>
              <w:t>(</w:t>
            </w:r>
            <w:r w:rsidRPr="004D419A">
              <w:rPr>
                <w:rFonts w:asciiTheme="majorHAnsi" w:eastAsiaTheme="majorEastAsia" w:hAnsiTheme="majorHAnsi" w:cstheme="majorBidi"/>
                <w:sz w:val="24"/>
                <w:szCs w:val="24"/>
              </w:rPr>
              <w:t>II.5</w:t>
            </w:r>
            <w:r w:rsidR="00664F95">
              <w:rPr>
                <w:rFonts w:ascii="Times New Roman" w:hAnsi="Times New Roman"/>
                <w:sz w:val="24"/>
                <w:szCs w:val="24"/>
              </w:rPr>
              <w:t>)</w:t>
            </w:r>
          </w:p>
        </w:tc>
      </w:tr>
    </w:tbl>
    <w:p w:rsidR="00111D80" w:rsidRDefault="00111D80" w:rsidP="00541F0F">
      <w:pPr>
        <w:spacing w:before="120" w:after="0" w:line="360" w:lineRule="auto"/>
        <w:rPr>
          <w:rFonts w:ascii="Times New Roman" w:hAnsi="Times New Roman"/>
          <w:color w:val="000000"/>
          <w:sz w:val="24"/>
          <w:szCs w:val="24"/>
          <w:lang w:eastAsia="zh-CN"/>
        </w:rPr>
      </w:pPr>
      <w:r>
        <w:rPr>
          <w:rFonts w:ascii="Times New Roman" w:hAnsi="Times New Roman"/>
          <w:sz w:val="24"/>
          <w:szCs w:val="24"/>
          <w:lang w:eastAsia="zh-CN"/>
        </w:rPr>
        <w:t>o</w:t>
      </w:r>
      <w:r>
        <w:rPr>
          <w:rFonts w:ascii="Times New Roman" w:hAnsi="Times New Roman"/>
          <w:color w:val="000000"/>
          <w:sz w:val="24"/>
          <w:szCs w:val="24"/>
          <w:lang w:eastAsia="zh-CN"/>
        </w:rPr>
        <w:t xml:space="preserve">ù </w:t>
      </w:r>
      <w:r>
        <w:rPr>
          <w:rFonts w:ascii="Times New Roman" w:hAnsi="Times New Roman"/>
          <w:i/>
          <w:iCs/>
          <w:color w:val="000000"/>
          <w:sz w:val="24"/>
          <w:szCs w:val="24"/>
          <w:lang w:eastAsia="zh-CN"/>
        </w:rPr>
        <w:t xml:space="preserve">x = </w:t>
      </w:r>
      <w:r>
        <w:rPr>
          <w:rFonts w:ascii="Times New Roman" w:hAnsi="Times New Roman"/>
          <w:color w:val="000000"/>
          <w:sz w:val="24"/>
          <w:szCs w:val="24"/>
          <w:lang w:eastAsia="zh-CN"/>
        </w:rPr>
        <w:t xml:space="preserve">[Ga]/[Ga+In], représente la teneur en Gallium du CIGS et </w:t>
      </w:r>
      <w:r>
        <w:rPr>
          <w:rFonts w:ascii="Times New Roman" w:hAnsi="Times New Roman"/>
          <w:i/>
          <w:iCs/>
          <w:color w:val="000000"/>
          <w:sz w:val="24"/>
          <w:szCs w:val="24"/>
          <w:lang w:eastAsia="zh-CN"/>
        </w:rPr>
        <w:t>b</w:t>
      </w:r>
      <w:r>
        <w:rPr>
          <w:rFonts w:ascii="Times New Roman" w:hAnsi="Times New Roman"/>
          <w:iCs/>
          <w:color w:val="000000"/>
          <w:sz w:val="24"/>
          <w:szCs w:val="24"/>
          <w:lang w:eastAsia="zh-CN"/>
        </w:rPr>
        <w:t xml:space="preserve"> un facteur de désordre compris entre </w:t>
      </w:r>
      <w:r>
        <w:rPr>
          <w:rFonts w:ascii="Times New Roman" w:hAnsi="Times New Roman"/>
          <w:color w:val="000000"/>
          <w:sz w:val="24"/>
          <w:szCs w:val="24"/>
          <w:lang w:eastAsia="zh-CN"/>
        </w:rPr>
        <w:t>0.15 et 0.24 eV.</w:t>
      </w:r>
    </w:p>
    <w:p w:rsidR="00111D80" w:rsidRPr="00816009" w:rsidRDefault="00111D80" w:rsidP="00541F0F">
      <w:pPr>
        <w:tabs>
          <w:tab w:val="left" w:pos="0"/>
        </w:tabs>
        <w:spacing w:before="120"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ab/>
        <w:t xml:space="preserve">Dans la littérature, on retrouve les valeurs des différentes énergies de gap pour les composés </w:t>
      </w:r>
      <w:r w:rsidR="00664F95">
        <w:rPr>
          <w:rFonts w:ascii="Times New Roman" w:hAnsi="Times New Roman"/>
          <w:sz w:val="24"/>
          <w:szCs w:val="24"/>
        </w:rPr>
        <w:t>Cu (</w:t>
      </w:r>
      <w:r>
        <w:rPr>
          <w:rFonts w:ascii="Times New Roman" w:hAnsi="Times New Roman"/>
          <w:sz w:val="24"/>
          <w:szCs w:val="24"/>
        </w:rPr>
        <w:t>In,Ga)(S,Se)</w:t>
      </w:r>
      <w:r>
        <w:rPr>
          <w:rFonts w:ascii="Times New Roman" w:hAnsi="Times New Roman"/>
          <w:sz w:val="24"/>
          <w:szCs w:val="24"/>
          <w:vertAlign w:val="subscript"/>
        </w:rPr>
        <w:t>2</w:t>
      </w:r>
      <w:r>
        <w:rPr>
          <w:rFonts w:ascii="Times New Roman" w:hAnsi="Times New Roman"/>
          <w:sz w:val="24"/>
          <w:szCs w:val="24"/>
        </w:rPr>
        <w:t xml:space="preserve">, qui sont résumées dans </w:t>
      </w:r>
      <w:r w:rsidRPr="00816009">
        <w:rPr>
          <w:rFonts w:ascii="Times New Roman" w:hAnsi="Times New Roman"/>
          <w:color w:val="000000" w:themeColor="text1"/>
          <w:sz w:val="24"/>
          <w:szCs w:val="24"/>
        </w:rPr>
        <w:t xml:space="preserve">le tableau </w:t>
      </w:r>
      <w:r w:rsidR="005913EC" w:rsidRPr="00D70296">
        <w:rPr>
          <w:rFonts w:asciiTheme="majorBidi" w:hAnsiTheme="majorBidi" w:cstheme="majorBidi"/>
          <w:b/>
          <w:bCs/>
          <w:sz w:val="24"/>
          <w:szCs w:val="24"/>
        </w:rPr>
        <w:t>II</w:t>
      </w:r>
      <w:r w:rsidR="005913EC">
        <w:rPr>
          <w:rFonts w:ascii="Times New Roman" w:hAnsi="Times New Roman"/>
          <w:color w:val="000000" w:themeColor="text1"/>
          <w:sz w:val="24"/>
          <w:szCs w:val="24"/>
        </w:rPr>
        <w:t>.</w:t>
      </w:r>
      <w:r w:rsidRPr="005913EC">
        <w:rPr>
          <w:rFonts w:ascii="Times New Roman" w:hAnsi="Times New Roman"/>
          <w:b/>
          <w:color w:val="000000" w:themeColor="text1"/>
          <w:sz w:val="24"/>
          <w:szCs w:val="24"/>
        </w:rPr>
        <w:t>1</w:t>
      </w:r>
      <w:r w:rsidRPr="00816009">
        <w:rPr>
          <w:rFonts w:ascii="Times New Roman" w:hAnsi="Times New Roman"/>
          <w:color w:val="000000" w:themeColor="text1"/>
          <w:sz w:val="24"/>
          <w:szCs w:val="24"/>
        </w:rPr>
        <w:t xml:space="preserve">. </w:t>
      </w:r>
    </w:p>
    <w:tbl>
      <w:tblPr>
        <w:tblW w:w="0" w:type="auto"/>
        <w:jc w:val="center"/>
        <w:tblBorders>
          <w:top w:val="single" w:sz="12" w:space="0" w:color="000000"/>
          <w:bottom w:val="single" w:sz="12" w:space="0" w:color="000000"/>
        </w:tblBorders>
        <w:tblLook w:val="00A0"/>
      </w:tblPr>
      <w:tblGrid>
        <w:gridCol w:w="1890"/>
        <w:gridCol w:w="2420"/>
      </w:tblGrid>
      <w:tr w:rsidR="00111D80" w:rsidTr="00541F0F">
        <w:trPr>
          <w:jc w:val="center"/>
        </w:trPr>
        <w:tc>
          <w:tcPr>
            <w:tcW w:w="1890" w:type="dxa"/>
            <w:tcBorders>
              <w:top w:val="single" w:sz="12" w:space="0" w:color="000000"/>
              <w:left w:val="single" w:sz="4" w:space="0" w:color="auto"/>
              <w:bottom w:val="single" w:sz="12" w:space="0" w:color="000000"/>
              <w:right w:val="single" w:sz="4" w:space="0" w:color="auto"/>
            </w:tcBorders>
            <w:vAlign w:val="center"/>
          </w:tcPr>
          <w:p w:rsidR="00111D80" w:rsidRDefault="00111D80" w:rsidP="00541F0F">
            <w:pPr>
              <w:pStyle w:val="5"/>
              <w:spacing w:before="120" w:after="0"/>
            </w:pPr>
            <w:r>
              <w:t>Composé</w:t>
            </w:r>
          </w:p>
        </w:tc>
        <w:tc>
          <w:tcPr>
            <w:tcW w:w="2420" w:type="dxa"/>
            <w:tcBorders>
              <w:top w:val="single" w:sz="12" w:space="0" w:color="000000"/>
              <w:left w:val="single" w:sz="4" w:space="0" w:color="auto"/>
              <w:bottom w:val="single" w:sz="12" w:space="0" w:color="000000"/>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iCs/>
                <w:color w:val="000000"/>
                <w:sz w:val="24"/>
                <w:szCs w:val="24"/>
              </w:rPr>
            </w:pPr>
            <w:r>
              <w:rPr>
                <w:rFonts w:ascii="Times New Roman" w:hAnsi="Times New Roman"/>
                <w:b/>
                <w:iCs/>
                <w:color w:val="000000"/>
                <w:sz w:val="24"/>
                <w:szCs w:val="24"/>
              </w:rPr>
              <w:t>Energie de gap (eV)</w:t>
            </w:r>
          </w:p>
        </w:tc>
      </w:tr>
      <w:tr w:rsidR="00111D80" w:rsidTr="00541F0F">
        <w:trPr>
          <w:jc w:val="center"/>
        </w:trPr>
        <w:tc>
          <w:tcPr>
            <w:tcW w:w="1890" w:type="dxa"/>
            <w:tcBorders>
              <w:top w:val="single" w:sz="12" w:space="0" w:color="000000"/>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CuInSe</w:t>
            </w:r>
            <w:r>
              <w:rPr>
                <w:rFonts w:ascii="Times New Roman" w:hAnsi="Times New Roman"/>
                <w:bCs/>
                <w:color w:val="000000"/>
                <w:sz w:val="24"/>
                <w:szCs w:val="24"/>
                <w:vertAlign w:val="subscript"/>
              </w:rPr>
              <w:t>2</w:t>
            </w:r>
          </w:p>
        </w:tc>
        <w:tc>
          <w:tcPr>
            <w:tcW w:w="2420" w:type="dxa"/>
            <w:tcBorders>
              <w:top w:val="single" w:sz="12" w:space="0" w:color="000000"/>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1,04</w:t>
            </w:r>
          </w:p>
        </w:tc>
      </w:tr>
      <w:tr w:rsidR="00111D80" w:rsidTr="00541F0F">
        <w:trPr>
          <w:jc w:val="center"/>
        </w:trPr>
        <w:tc>
          <w:tcPr>
            <w:tcW w:w="189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CuGaSe</w:t>
            </w:r>
            <w:r>
              <w:rPr>
                <w:rFonts w:ascii="Times New Roman" w:hAnsi="Times New Roman"/>
                <w:bCs/>
                <w:color w:val="000000"/>
                <w:sz w:val="24"/>
                <w:szCs w:val="24"/>
                <w:vertAlign w:val="subscript"/>
              </w:rPr>
              <w:t>2</w:t>
            </w:r>
          </w:p>
        </w:tc>
        <w:tc>
          <w:tcPr>
            <w:tcW w:w="242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1,68</w:t>
            </w:r>
          </w:p>
        </w:tc>
      </w:tr>
      <w:tr w:rsidR="00111D80" w:rsidTr="00541F0F">
        <w:trPr>
          <w:jc w:val="center"/>
        </w:trPr>
        <w:tc>
          <w:tcPr>
            <w:tcW w:w="189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CuInS</w:t>
            </w:r>
            <w:r>
              <w:rPr>
                <w:rFonts w:ascii="Times New Roman" w:hAnsi="Times New Roman"/>
                <w:bCs/>
                <w:color w:val="000000"/>
                <w:sz w:val="24"/>
                <w:szCs w:val="24"/>
                <w:vertAlign w:val="subscript"/>
              </w:rPr>
              <w:t>2</w:t>
            </w:r>
          </w:p>
        </w:tc>
        <w:tc>
          <w:tcPr>
            <w:tcW w:w="242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1,53</w:t>
            </w:r>
          </w:p>
        </w:tc>
      </w:tr>
      <w:tr w:rsidR="00111D80" w:rsidTr="00541F0F">
        <w:trPr>
          <w:jc w:val="center"/>
        </w:trPr>
        <w:tc>
          <w:tcPr>
            <w:tcW w:w="189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CuGaS</w:t>
            </w:r>
            <w:r>
              <w:rPr>
                <w:rFonts w:ascii="Times New Roman" w:hAnsi="Times New Roman"/>
                <w:bCs/>
                <w:color w:val="000000"/>
                <w:sz w:val="24"/>
                <w:szCs w:val="24"/>
                <w:vertAlign w:val="subscript"/>
              </w:rPr>
              <w:t>2</w:t>
            </w:r>
          </w:p>
        </w:tc>
        <w:tc>
          <w:tcPr>
            <w:tcW w:w="242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2,76</w:t>
            </w:r>
          </w:p>
        </w:tc>
      </w:tr>
      <w:tr w:rsidR="00111D80" w:rsidTr="00541F0F">
        <w:trPr>
          <w:jc w:val="center"/>
        </w:trPr>
        <w:tc>
          <w:tcPr>
            <w:tcW w:w="189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CuGa</w:t>
            </w:r>
            <w:r>
              <w:rPr>
                <w:rFonts w:ascii="Times New Roman" w:hAnsi="Times New Roman"/>
                <w:bCs/>
                <w:color w:val="000000"/>
                <w:sz w:val="24"/>
                <w:szCs w:val="24"/>
                <w:vertAlign w:val="subscript"/>
              </w:rPr>
              <w:t>x</w:t>
            </w:r>
            <w:r>
              <w:rPr>
                <w:rFonts w:ascii="Times New Roman" w:hAnsi="Times New Roman"/>
                <w:bCs/>
                <w:color w:val="000000"/>
                <w:sz w:val="24"/>
                <w:szCs w:val="24"/>
              </w:rPr>
              <w:t>In</w:t>
            </w:r>
            <w:r>
              <w:rPr>
                <w:rFonts w:ascii="Times New Roman" w:hAnsi="Times New Roman"/>
                <w:bCs/>
                <w:color w:val="000000"/>
                <w:sz w:val="24"/>
                <w:szCs w:val="24"/>
                <w:vertAlign w:val="subscript"/>
              </w:rPr>
              <w:t>1-x</w:t>
            </w:r>
            <w:r>
              <w:rPr>
                <w:rFonts w:ascii="Times New Roman" w:hAnsi="Times New Roman"/>
                <w:bCs/>
                <w:color w:val="000000"/>
                <w:sz w:val="24"/>
                <w:szCs w:val="24"/>
              </w:rPr>
              <w:t>Se</w:t>
            </w:r>
            <w:r>
              <w:rPr>
                <w:rFonts w:ascii="Times New Roman" w:hAnsi="Times New Roman"/>
                <w:bCs/>
                <w:color w:val="000000"/>
                <w:sz w:val="24"/>
                <w:szCs w:val="24"/>
                <w:vertAlign w:val="subscript"/>
              </w:rPr>
              <w:t>2</w:t>
            </w:r>
          </w:p>
        </w:tc>
        <w:tc>
          <w:tcPr>
            <w:tcW w:w="242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1,0 – 1,7</w:t>
            </w:r>
          </w:p>
        </w:tc>
      </w:tr>
      <w:tr w:rsidR="00111D80" w:rsidTr="00541F0F">
        <w:trPr>
          <w:jc w:val="center"/>
        </w:trPr>
        <w:tc>
          <w:tcPr>
            <w:tcW w:w="189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b/>
                <w:bCs/>
                <w:color w:val="000000"/>
                <w:sz w:val="24"/>
                <w:szCs w:val="24"/>
              </w:rPr>
            </w:pPr>
            <w:r>
              <w:rPr>
                <w:rFonts w:ascii="Times New Roman" w:hAnsi="Times New Roman"/>
                <w:bCs/>
                <w:color w:val="000000"/>
                <w:sz w:val="24"/>
                <w:szCs w:val="24"/>
              </w:rPr>
              <w:t>CuIn(S</w:t>
            </w:r>
            <w:r>
              <w:rPr>
                <w:rFonts w:ascii="Times New Roman" w:hAnsi="Times New Roman"/>
                <w:bCs/>
                <w:color w:val="000000"/>
                <w:sz w:val="24"/>
                <w:szCs w:val="24"/>
                <w:vertAlign w:val="subscript"/>
              </w:rPr>
              <w:t>x</w:t>
            </w:r>
            <w:r>
              <w:rPr>
                <w:rFonts w:ascii="Times New Roman" w:hAnsi="Times New Roman"/>
                <w:bCs/>
                <w:color w:val="000000"/>
                <w:sz w:val="24"/>
                <w:szCs w:val="24"/>
              </w:rPr>
              <w:t>Se</w:t>
            </w:r>
            <w:r>
              <w:rPr>
                <w:rFonts w:ascii="Times New Roman" w:hAnsi="Times New Roman"/>
                <w:bCs/>
                <w:color w:val="000000"/>
                <w:sz w:val="24"/>
                <w:szCs w:val="24"/>
                <w:vertAlign w:val="subscript"/>
              </w:rPr>
              <w:t>1-x</w:t>
            </w:r>
            <w:r>
              <w:rPr>
                <w:rFonts w:ascii="Times New Roman" w:hAnsi="Times New Roman"/>
                <w:bCs/>
                <w:color w:val="000000"/>
                <w:sz w:val="24"/>
                <w:szCs w:val="24"/>
              </w:rPr>
              <w:t>)</w:t>
            </w:r>
            <w:r>
              <w:rPr>
                <w:rFonts w:ascii="Times New Roman" w:hAnsi="Times New Roman"/>
                <w:bCs/>
                <w:color w:val="000000"/>
                <w:sz w:val="24"/>
                <w:szCs w:val="24"/>
                <w:vertAlign w:val="subscript"/>
              </w:rPr>
              <w:t>2</w:t>
            </w:r>
          </w:p>
        </w:tc>
        <w:tc>
          <w:tcPr>
            <w:tcW w:w="2420" w:type="dxa"/>
            <w:tcBorders>
              <w:left w:val="single" w:sz="4" w:space="0" w:color="auto"/>
              <w:right w:val="single" w:sz="4" w:space="0" w:color="auto"/>
            </w:tcBorders>
            <w:vAlign w:val="center"/>
          </w:tcPr>
          <w:p w:rsidR="00111D80" w:rsidRDefault="00111D80" w:rsidP="00541F0F">
            <w:pPr>
              <w:tabs>
                <w:tab w:val="left" w:pos="0"/>
              </w:tabs>
              <w:spacing w:before="120" w:after="0" w:line="360" w:lineRule="auto"/>
              <w:jc w:val="center"/>
              <w:rPr>
                <w:rFonts w:ascii="Times New Roman" w:hAnsi="Times New Roman"/>
                <w:color w:val="000000"/>
                <w:sz w:val="24"/>
                <w:szCs w:val="24"/>
              </w:rPr>
            </w:pPr>
            <w:r>
              <w:rPr>
                <w:rFonts w:ascii="Times New Roman" w:hAnsi="Times New Roman"/>
                <w:color w:val="000000"/>
                <w:sz w:val="24"/>
                <w:szCs w:val="24"/>
              </w:rPr>
              <w:t>1,0 – 1,5</w:t>
            </w:r>
          </w:p>
        </w:tc>
      </w:tr>
    </w:tbl>
    <w:p w:rsidR="00111D80" w:rsidRPr="00816009" w:rsidRDefault="00111D80" w:rsidP="00787432">
      <w:pPr>
        <w:tabs>
          <w:tab w:val="left" w:pos="0"/>
        </w:tabs>
        <w:spacing w:before="120" w:after="0" w:line="360" w:lineRule="auto"/>
        <w:jc w:val="center"/>
        <w:rPr>
          <w:rFonts w:ascii="Times New Roman" w:hAnsi="Times New Roman"/>
          <w:color w:val="000000" w:themeColor="text1"/>
          <w:sz w:val="24"/>
          <w:szCs w:val="24"/>
        </w:rPr>
      </w:pPr>
      <w:r w:rsidRPr="00816009">
        <w:rPr>
          <w:rFonts w:ascii="Times New Roman" w:hAnsi="Times New Roman"/>
          <w:b/>
          <w:color w:val="000000" w:themeColor="text1"/>
          <w:sz w:val="24"/>
          <w:szCs w:val="24"/>
        </w:rPr>
        <w:t xml:space="preserve">Tableau </w:t>
      </w:r>
      <w:r w:rsidR="005913EC" w:rsidRPr="00D70296">
        <w:rPr>
          <w:rFonts w:asciiTheme="majorBidi" w:hAnsiTheme="majorBidi" w:cstheme="majorBidi"/>
          <w:b/>
          <w:bCs/>
          <w:sz w:val="24"/>
          <w:szCs w:val="24"/>
        </w:rPr>
        <w:t>II</w:t>
      </w:r>
      <w:r w:rsidR="005913EC">
        <w:rPr>
          <w:rFonts w:ascii="Times New Roman" w:hAnsi="Times New Roman"/>
          <w:b/>
          <w:color w:val="000000" w:themeColor="text1"/>
          <w:sz w:val="24"/>
          <w:szCs w:val="24"/>
        </w:rPr>
        <w:t>.</w:t>
      </w:r>
      <w:r w:rsidRPr="00816009">
        <w:rPr>
          <w:rFonts w:ascii="Times New Roman" w:hAnsi="Times New Roman"/>
          <w:b/>
          <w:color w:val="000000" w:themeColor="text1"/>
          <w:sz w:val="24"/>
          <w:szCs w:val="24"/>
        </w:rPr>
        <w:t>1 :</w:t>
      </w:r>
      <w:r w:rsidRPr="00816009">
        <w:rPr>
          <w:rFonts w:ascii="Times New Roman" w:hAnsi="Times New Roman"/>
          <w:color w:val="000000" w:themeColor="text1"/>
          <w:sz w:val="24"/>
          <w:szCs w:val="24"/>
        </w:rPr>
        <w:t xml:space="preserve"> Energies de gap des composés </w:t>
      </w:r>
      <w:r w:rsidR="00664F95" w:rsidRPr="00816009">
        <w:rPr>
          <w:rFonts w:ascii="Times New Roman" w:hAnsi="Times New Roman"/>
          <w:color w:val="000000" w:themeColor="text1"/>
          <w:sz w:val="24"/>
          <w:szCs w:val="24"/>
        </w:rPr>
        <w:t>Cu (</w:t>
      </w:r>
      <w:r w:rsidRPr="00816009">
        <w:rPr>
          <w:rFonts w:ascii="Times New Roman" w:hAnsi="Times New Roman"/>
          <w:color w:val="000000" w:themeColor="text1"/>
          <w:sz w:val="24"/>
          <w:szCs w:val="24"/>
        </w:rPr>
        <w:t>In,Ga)(S,Se)</w:t>
      </w:r>
      <w:r w:rsidRPr="00816009">
        <w:rPr>
          <w:rFonts w:ascii="Times New Roman" w:hAnsi="Times New Roman"/>
          <w:color w:val="000000" w:themeColor="text1"/>
          <w:sz w:val="24"/>
          <w:szCs w:val="24"/>
          <w:vertAlign w:val="subscript"/>
        </w:rPr>
        <w:t>2</w:t>
      </w:r>
      <w:r w:rsidR="008E7B3C">
        <w:rPr>
          <w:rFonts w:ascii="Times New Roman" w:hAnsi="Times New Roman"/>
          <w:color w:val="000000" w:themeColor="text1"/>
          <w:sz w:val="24"/>
          <w:szCs w:val="24"/>
        </w:rPr>
        <w:t xml:space="preserve"> [45</w:t>
      </w:r>
      <w:r w:rsidRPr="00816009">
        <w:rPr>
          <w:rFonts w:ascii="Times New Roman" w:hAnsi="Times New Roman"/>
          <w:color w:val="000000" w:themeColor="text1"/>
          <w:sz w:val="24"/>
          <w:szCs w:val="24"/>
        </w:rPr>
        <w:t>].</w:t>
      </w:r>
    </w:p>
    <w:p w:rsidR="00111D80" w:rsidRDefault="00111D80" w:rsidP="006E08CA">
      <w:pPr>
        <w:pStyle w:val="1"/>
        <w:spacing w:before="240" w:line="360" w:lineRule="auto"/>
        <w:rPr>
          <w:rFonts w:ascii="Times New Roman" w:hAnsi="Times New Roman"/>
          <w:color w:val="auto"/>
          <w:sz w:val="24"/>
          <w:szCs w:val="24"/>
        </w:rPr>
      </w:pPr>
      <w:r>
        <w:rPr>
          <w:rFonts w:ascii="Times New Roman" w:hAnsi="Times New Roman"/>
          <w:color w:val="auto"/>
          <w:sz w:val="24"/>
          <w:szCs w:val="24"/>
        </w:rPr>
        <w:t>II.</w:t>
      </w:r>
      <w:r w:rsidR="009D479F">
        <w:rPr>
          <w:rFonts w:ascii="Times New Roman" w:hAnsi="Times New Roman"/>
          <w:color w:val="auto"/>
          <w:sz w:val="24"/>
          <w:szCs w:val="24"/>
        </w:rPr>
        <w:t>4</w:t>
      </w:r>
      <w:r w:rsidR="00D2168B">
        <w:rPr>
          <w:rFonts w:ascii="Times New Roman" w:hAnsi="Times New Roman"/>
          <w:color w:val="auto"/>
          <w:sz w:val="24"/>
          <w:szCs w:val="24"/>
        </w:rPr>
        <w:t>.</w:t>
      </w:r>
      <w:r w:rsidR="006E08CA">
        <w:rPr>
          <w:rFonts w:ascii="Times New Roman" w:hAnsi="Times New Roman"/>
          <w:color w:val="auto"/>
          <w:sz w:val="24"/>
          <w:szCs w:val="24"/>
        </w:rPr>
        <w:t xml:space="preserve"> DIAGRAMMES COMPOSITIONNELS </w:t>
      </w:r>
      <w:r>
        <w:rPr>
          <w:rFonts w:ascii="Times New Roman" w:hAnsi="Times New Roman"/>
          <w:color w:val="auto"/>
          <w:sz w:val="24"/>
          <w:szCs w:val="24"/>
        </w:rPr>
        <w:t xml:space="preserve"> </w:t>
      </w:r>
    </w:p>
    <w:p w:rsidR="00111D80" w:rsidRDefault="00111D80" w:rsidP="00541F0F">
      <w:pPr>
        <w:pStyle w:val="8"/>
        <w:spacing w:before="120" w:after="0" w:line="360" w:lineRule="auto"/>
        <w:jc w:val="both"/>
        <w:rPr>
          <w:b/>
          <w:i w:val="0"/>
        </w:rPr>
      </w:pPr>
      <w:r>
        <w:rPr>
          <w:b/>
          <w:i w:val="0"/>
        </w:rPr>
        <w:t>II.</w:t>
      </w:r>
      <w:r w:rsidR="009D479F">
        <w:rPr>
          <w:b/>
          <w:i w:val="0"/>
        </w:rPr>
        <w:t>4</w:t>
      </w:r>
      <w:r>
        <w:rPr>
          <w:b/>
          <w:i w:val="0"/>
        </w:rPr>
        <w:t>.1</w:t>
      </w:r>
      <w:r w:rsidR="00D2168B">
        <w:rPr>
          <w:b/>
          <w:i w:val="0"/>
        </w:rPr>
        <w:t>.</w:t>
      </w:r>
      <w:r>
        <w:rPr>
          <w:b/>
          <w:i w:val="0"/>
        </w:rPr>
        <w:t xml:space="preserve"> Le Système ternaire Cu-In-Se </w:t>
      </w:r>
    </w:p>
    <w:p w:rsidR="00111D80" w:rsidRDefault="00111D80" w:rsidP="00541F0F">
      <w:pPr>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D’après les travaux effectués par plusieurs </w:t>
      </w:r>
      <w:r w:rsidR="008E7B3C">
        <w:rPr>
          <w:rFonts w:ascii="Times New Roman" w:hAnsi="Times New Roman"/>
          <w:color w:val="000000" w:themeColor="text1"/>
          <w:sz w:val="24"/>
          <w:szCs w:val="24"/>
        </w:rPr>
        <w:t>auteurs [46,47</w:t>
      </w:r>
      <w:r w:rsidRPr="00816009">
        <w:rPr>
          <w:rFonts w:ascii="Times New Roman" w:hAnsi="Times New Roman"/>
          <w:color w:val="000000" w:themeColor="text1"/>
          <w:sz w:val="24"/>
          <w:szCs w:val="24"/>
        </w:rPr>
        <w:t>], un composé formé de N éléments possède (N-1) types d’écarts à la stœchiométrie; ainsi un composé ternaire ABX</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est considéré comme  un pseudo-binaire, résultant du mélange de deux composés A</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X et B</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X</w:t>
      </w:r>
      <w:r w:rsidRPr="00816009">
        <w:rPr>
          <w:rFonts w:ascii="Times New Roman" w:hAnsi="Times New Roman"/>
          <w:color w:val="000000" w:themeColor="text1"/>
          <w:sz w:val="24"/>
          <w:szCs w:val="24"/>
          <w:vertAlign w:val="subscript"/>
        </w:rPr>
        <w:t>3</w:t>
      </w:r>
      <w:r w:rsidRPr="00816009">
        <w:rPr>
          <w:rFonts w:ascii="Times New Roman" w:hAnsi="Times New Roman"/>
          <w:color w:val="000000" w:themeColor="text1"/>
          <w:sz w:val="24"/>
          <w:szCs w:val="24"/>
        </w:rPr>
        <w:t xml:space="preserve">, le segment joignant ces deux binaires étant la ligne d’attache. Sur le diagramme compositionnel ternaire du système Cu-In-Se (figure </w:t>
      </w:r>
      <w:r w:rsidR="00DC06C2" w:rsidRPr="00D70296">
        <w:rPr>
          <w:rFonts w:asciiTheme="majorBidi" w:hAnsiTheme="majorBidi" w:cstheme="majorBidi"/>
          <w:b/>
          <w:bCs/>
          <w:sz w:val="24"/>
          <w:szCs w:val="24"/>
        </w:rPr>
        <w:t>II</w:t>
      </w:r>
      <w:r w:rsidR="00DC06C2" w:rsidRPr="00DC06C2">
        <w:rPr>
          <w:rFonts w:ascii="Times New Roman" w:hAnsi="Times New Roman"/>
          <w:b/>
          <w:color w:val="000000" w:themeColor="text1"/>
          <w:sz w:val="24"/>
          <w:szCs w:val="24"/>
        </w:rPr>
        <w:t>.</w:t>
      </w:r>
      <w:r w:rsidR="0076148A" w:rsidRPr="00DC06C2">
        <w:rPr>
          <w:rFonts w:ascii="Times New Roman" w:hAnsi="Times New Roman"/>
          <w:b/>
          <w:color w:val="000000" w:themeColor="text1"/>
          <w:sz w:val="24"/>
          <w:szCs w:val="24"/>
        </w:rPr>
        <w:t>6</w:t>
      </w:r>
      <w:r w:rsidRPr="00816009">
        <w:rPr>
          <w:rFonts w:ascii="Times New Roman" w:hAnsi="Times New Roman"/>
          <w:color w:val="000000" w:themeColor="text1"/>
          <w:sz w:val="24"/>
          <w:szCs w:val="24"/>
        </w:rPr>
        <w:t>), un matériau représenté</w:t>
      </w:r>
      <w:r>
        <w:rPr>
          <w:rFonts w:ascii="Times New Roman" w:hAnsi="Times New Roman"/>
          <w:sz w:val="24"/>
          <w:szCs w:val="24"/>
        </w:rPr>
        <w:t xml:space="preserve"> par un point sur la ligne d’attache peut être considéré comme un alliage de (Cu</w:t>
      </w:r>
      <w:r>
        <w:rPr>
          <w:rFonts w:ascii="Times New Roman" w:hAnsi="Times New Roman"/>
          <w:sz w:val="24"/>
          <w:szCs w:val="24"/>
          <w:vertAlign w:val="subscript"/>
        </w:rPr>
        <w:t>2</w:t>
      </w:r>
      <w:r>
        <w:rPr>
          <w:rFonts w:ascii="Times New Roman" w:hAnsi="Times New Roman"/>
          <w:sz w:val="24"/>
          <w:szCs w:val="24"/>
        </w:rPr>
        <w:t>Se)</w:t>
      </w:r>
      <w:r>
        <w:rPr>
          <w:rFonts w:ascii="Times New Roman" w:hAnsi="Times New Roman"/>
          <w:sz w:val="24"/>
          <w:szCs w:val="24"/>
          <w:vertAlign w:val="subscript"/>
        </w:rPr>
        <w:t>x</w:t>
      </w:r>
      <w:r>
        <w:rPr>
          <w:rFonts w:ascii="Times New Roman" w:hAnsi="Times New Roman"/>
          <w:sz w:val="24"/>
          <w:szCs w:val="24"/>
        </w:rPr>
        <w:t>(In</w:t>
      </w:r>
      <w:r>
        <w:rPr>
          <w:rFonts w:ascii="Times New Roman" w:hAnsi="Times New Roman"/>
          <w:sz w:val="24"/>
          <w:szCs w:val="24"/>
          <w:vertAlign w:val="subscript"/>
        </w:rPr>
        <w:t>2</w:t>
      </w:r>
      <w:r>
        <w:rPr>
          <w:rFonts w:ascii="Times New Roman" w:hAnsi="Times New Roman"/>
          <w:sz w:val="24"/>
          <w:szCs w:val="24"/>
        </w:rPr>
        <w:t>Se</w:t>
      </w:r>
      <w:r>
        <w:rPr>
          <w:rFonts w:ascii="Times New Roman" w:hAnsi="Times New Roman"/>
          <w:sz w:val="24"/>
          <w:szCs w:val="24"/>
          <w:vertAlign w:val="subscript"/>
        </w:rPr>
        <w:t>3</w:t>
      </w:r>
      <w:r>
        <w:rPr>
          <w:rFonts w:ascii="Times New Roman" w:hAnsi="Times New Roman"/>
          <w:sz w:val="24"/>
          <w:szCs w:val="24"/>
        </w:rPr>
        <w:t>)</w:t>
      </w:r>
      <w:r>
        <w:rPr>
          <w:rFonts w:ascii="Times New Roman" w:hAnsi="Times New Roman"/>
          <w:sz w:val="24"/>
          <w:szCs w:val="24"/>
          <w:vertAlign w:val="subscript"/>
        </w:rPr>
        <w:t>1-x </w:t>
      </w:r>
      <w:r>
        <w:rPr>
          <w:rFonts w:ascii="Times New Roman" w:hAnsi="Times New Roman"/>
          <w:sz w:val="24"/>
          <w:szCs w:val="24"/>
        </w:rPr>
        <w:t>; le CuInSe</w:t>
      </w:r>
      <w:r>
        <w:rPr>
          <w:rFonts w:ascii="Times New Roman" w:hAnsi="Times New Roman"/>
          <w:sz w:val="24"/>
          <w:szCs w:val="24"/>
          <w:vertAlign w:val="subscript"/>
        </w:rPr>
        <w:t xml:space="preserve">2 </w:t>
      </w:r>
      <w:r>
        <w:rPr>
          <w:rFonts w:ascii="Times New Roman" w:hAnsi="Times New Roman"/>
          <w:sz w:val="24"/>
          <w:szCs w:val="24"/>
        </w:rPr>
        <w:t>stœchiométrique correspond au cas où x=0,5.</w:t>
      </w:r>
    </w:p>
    <w:p w:rsidR="00111D80" w:rsidRDefault="00111D80" w:rsidP="00111D80">
      <w:pPr>
        <w:keepNext/>
        <w:spacing w:before="120" w:after="0" w:line="360" w:lineRule="auto"/>
        <w:jc w:val="center"/>
      </w:pPr>
      <w:r>
        <w:rPr>
          <w:noProof/>
          <w:lang w:eastAsia="fr-FR"/>
        </w:rPr>
        <w:lastRenderedPageBreak/>
        <w:drawing>
          <wp:inline distT="0" distB="0" distL="0" distR="0">
            <wp:extent cx="5441315" cy="4437380"/>
            <wp:effectExtent l="19050" t="0" r="6985" b="0"/>
            <wp:docPr id="23" name="Image 23" descr="CIS_Phase Diagram 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IS_Phase Diagram DELTA"/>
                    <pic:cNvPicPr>
                      <a:picLocks noChangeAspect="1" noChangeArrowheads="1"/>
                    </pic:cNvPicPr>
                  </pic:nvPicPr>
                  <pic:blipFill>
                    <a:blip r:embed="rId40" cstate="print"/>
                    <a:srcRect/>
                    <a:stretch>
                      <a:fillRect/>
                    </a:stretch>
                  </pic:blipFill>
                  <pic:spPr bwMode="auto">
                    <a:xfrm>
                      <a:off x="0" y="0"/>
                      <a:ext cx="5441315" cy="4437380"/>
                    </a:xfrm>
                    <a:prstGeom prst="rect">
                      <a:avLst/>
                    </a:prstGeom>
                    <a:noFill/>
                    <a:ln w="9525">
                      <a:noFill/>
                      <a:miter lim="800000"/>
                      <a:headEnd/>
                      <a:tailEnd/>
                    </a:ln>
                  </pic:spPr>
                </pic:pic>
              </a:graphicData>
            </a:graphic>
          </wp:inline>
        </w:drawing>
      </w:r>
    </w:p>
    <w:p w:rsidR="00111D80" w:rsidRDefault="00111D80" w:rsidP="00541F0F">
      <w:pPr>
        <w:pStyle w:val="ab"/>
        <w:spacing w:after="0"/>
        <w:jc w:val="center"/>
        <w:rPr>
          <w:b w:val="0"/>
          <w:bCs/>
          <w:sz w:val="24"/>
          <w:szCs w:val="24"/>
        </w:rPr>
      </w:pPr>
      <w:r w:rsidRPr="00816009">
        <w:rPr>
          <w:color w:val="000000" w:themeColor="text1"/>
          <w:sz w:val="24"/>
          <w:szCs w:val="24"/>
        </w:rPr>
        <w:t xml:space="preserve">Figure </w:t>
      </w:r>
      <w:r w:rsidR="005913EC" w:rsidRPr="00D70296">
        <w:rPr>
          <w:rFonts w:asciiTheme="majorBidi" w:hAnsiTheme="majorBidi" w:cstheme="majorBidi"/>
          <w:bCs/>
          <w:sz w:val="24"/>
          <w:szCs w:val="24"/>
        </w:rPr>
        <w:t>II</w:t>
      </w:r>
      <w:r w:rsidR="005913EC">
        <w:rPr>
          <w:color w:val="000000" w:themeColor="text1"/>
          <w:sz w:val="24"/>
          <w:szCs w:val="24"/>
        </w:rPr>
        <w:t>.</w:t>
      </w:r>
      <w:r w:rsidR="0076148A" w:rsidRPr="00816009">
        <w:rPr>
          <w:color w:val="000000" w:themeColor="text1"/>
          <w:sz w:val="24"/>
          <w:szCs w:val="24"/>
        </w:rPr>
        <w:t>6</w:t>
      </w:r>
      <w:r w:rsidRPr="00816009">
        <w:rPr>
          <w:color w:val="000000" w:themeColor="text1"/>
          <w:sz w:val="24"/>
          <w:szCs w:val="24"/>
        </w:rPr>
        <w:t> :</w:t>
      </w:r>
      <w:r w:rsidRPr="00816009">
        <w:rPr>
          <w:color w:val="000000" w:themeColor="text1"/>
          <w:sz w:val="24"/>
        </w:rPr>
        <w:t xml:space="preserve"> </w:t>
      </w:r>
      <w:r w:rsidRPr="00816009">
        <w:rPr>
          <w:b w:val="0"/>
          <w:bCs/>
          <w:color w:val="000000" w:themeColor="text1"/>
          <w:sz w:val="24"/>
          <w:szCs w:val="24"/>
        </w:rPr>
        <w:t xml:space="preserve">Diagramme </w:t>
      </w:r>
      <w:r w:rsidRPr="00816009">
        <w:rPr>
          <w:b w:val="0"/>
          <w:bCs/>
          <w:color w:val="000000" w:themeColor="text1"/>
          <w:sz w:val="24"/>
        </w:rPr>
        <w:t>compositionnel</w:t>
      </w:r>
      <w:r>
        <w:rPr>
          <w:b w:val="0"/>
          <w:bCs/>
          <w:sz w:val="24"/>
        </w:rPr>
        <w:t xml:space="preserve"> </w:t>
      </w:r>
      <w:r>
        <w:rPr>
          <w:b w:val="0"/>
          <w:bCs/>
          <w:sz w:val="24"/>
          <w:szCs w:val="24"/>
        </w:rPr>
        <w:t>ternaire du système Cu-In-Se.</w:t>
      </w:r>
    </w:p>
    <w:p w:rsidR="00111D80" w:rsidRDefault="00111D80" w:rsidP="00541F0F">
      <w:pPr>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Groenik et </w:t>
      </w:r>
      <w:r w:rsidR="008E7B3C">
        <w:rPr>
          <w:rFonts w:ascii="Times New Roman" w:hAnsi="Times New Roman"/>
          <w:color w:val="000000" w:themeColor="text1"/>
          <w:sz w:val="24"/>
          <w:szCs w:val="24"/>
        </w:rPr>
        <w:t>Janse [48</w:t>
      </w:r>
      <w:r w:rsidRPr="00816009">
        <w:rPr>
          <w:rFonts w:ascii="Times New Roman" w:hAnsi="Times New Roman"/>
          <w:color w:val="000000" w:themeColor="text1"/>
          <w:sz w:val="24"/>
          <w:szCs w:val="24"/>
        </w:rPr>
        <w:t>] ont défini un écart</w:t>
      </w:r>
      <w:r>
        <w:rPr>
          <w:rFonts w:ascii="Times New Roman" w:hAnsi="Times New Roman"/>
          <w:sz w:val="24"/>
          <w:szCs w:val="24"/>
        </w:rPr>
        <w:t xml:space="preserve"> à la molécularité </w:t>
      </w:r>
      <w:r>
        <w:rPr>
          <w:rFonts w:ascii="Times New Roman" w:hAnsi="Times New Roman"/>
          <w:sz w:val="24"/>
          <w:szCs w:val="24"/>
        </w:rPr>
        <w:sym w:font="Symbol" w:char="F044"/>
      </w:r>
      <w:r>
        <w:rPr>
          <w:rFonts w:ascii="Times New Roman" w:hAnsi="Times New Roman"/>
          <w:sz w:val="24"/>
          <w:szCs w:val="24"/>
        </w:rPr>
        <w:t xml:space="preserve">m et un écart à la stœchiométrie </w:t>
      </w:r>
      <w:r>
        <w:rPr>
          <w:rFonts w:ascii="Times New Roman" w:hAnsi="Times New Roman"/>
          <w:sz w:val="24"/>
          <w:szCs w:val="24"/>
        </w:rPr>
        <w:sym w:font="Symbol" w:char="F044"/>
      </w:r>
      <w:r>
        <w:rPr>
          <w:rFonts w:ascii="Times New Roman" w:hAnsi="Times New Roman"/>
          <w:sz w:val="24"/>
          <w:szCs w:val="24"/>
        </w:rPr>
        <w:t>y tels que:</w:t>
      </w:r>
    </w:p>
    <w:p w:rsidR="00111D80" w:rsidRPr="00480321" w:rsidRDefault="00111D80" w:rsidP="00541F0F">
      <w:pPr>
        <w:pStyle w:val="a6"/>
        <w:numPr>
          <w:ilvl w:val="0"/>
          <w:numId w:val="30"/>
        </w:numPr>
        <w:spacing w:before="120" w:after="0" w:line="360" w:lineRule="auto"/>
        <w:jc w:val="both"/>
        <w:rPr>
          <w:rFonts w:ascii="Times New Roman" w:hAnsi="Times New Roman"/>
          <w:sz w:val="24"/>
          <w:szCs w:val="24"/>
        </w:rPr>
      </w:pPr>
      <w:r w:rsidRPr="00480321">
        <w:rPr>
          <w:rFonts w:ascii="Times New Roman" w:hAnsi="Times New Roman"/>
          <w:sz w:val="24"/>
          <w:szCs w:val="24"/>
        </w:rPr>
        <w:t>L’écart à la molécularité </w:t>
      </w:r>
      <w:r>
        <w:sym w:font="Symbol" w:char="F044"/>
      </w:r>
      <w:r w:rsidRPr="00480321">
        <w:rPr>
          <w:rFonts w:ascii="Times New Roman" w:hAnsi="Times New Roman"/>
          <w:sz w:val="24"/>
          <w:szCs w:val="24"/>
        </w:rPr>
        <w:t xml:space="preserve">m n’implique aucun écart au degré d’oxydation de référence des espèces (dans un modèle ionique, celui-ci est fixé à 1 pour Cu, à 3 pour In et à 2 pour Se) et est relié aux solutions solides de binaires. </w:t>
      </w:r>
    </w:p>
    <w:tbl>
      <w:tblPr>
        <w:tblpPr w:leftFromText="141" w:rightFromText="141" w:vertAnchor="text" w:horzAnchor="margin" w:tblpY="27"/>
        <w:tblOverlap w:val="never"/>
        <w:tblW w:w="0" w:type="auto"/>
        <w:tblBorders>
          <w:insideH w:val="single" w:sz="4" w:space="0" w:color="auto"/>
        </w:tblBorders>
        <w:tblLook w:val="01E0"/>
      </w:tblPr>
      <w:tblGrid>
        <w:gridCol w:w="7970"/>
        <w:gridCol w:w="1210"/>
      </w:tblGrid>
      <w:tr w:rsidR="00664F95" w:rsidTr="00664F95">
        <w:trPr>
          <w:trHeight w:val="904"/>
        </w:trPr>
        <w:tc>
          <w:tcPr>
            <w:tcW w:w="7970" w:type="dxa"/>
            <w:vAlign w:val="center"/>
          </w:tcPr>
          <w:p w:rsidR="00664F95" w:rsidRDefault="00664F95" w:rsidP="00541F0F">
            <w:pPr>
              <w:spacing w:before="120" w:after="0" w:line="360" w:lineRule="auto"/>
              <w:ind w:firstLine="1134"/>
              <w:rPr>
                <w:rFonts w:ascii="Times New Roman" w:hAnsi="Times New Roman"/>
                <w:sz w:val="24"/>
                <w:szCs w:val="24"/>
              </w:rPr>
            </w:pPr>
            <w:r w:rsidRPr="00C446DF">
              <w:rPr>
                <w:rFonts w:ascii="Times New Roman" w:hAnsi="Times New Roman"/>
                <w:position w:val="-28"/>
                <w:sz w:val="24"/>
                <w:szCs w:val="24"/>
              </w:rPr>
              <w:object w:dxaOrig="1400" w:dyaOrig="660">
                <v:shape id="_x0000_i1040" type="#_x0000_t75" style="width:69.95pt;height:32.6pt" o:ole="">
                  <v:imagedata r:id="rId41" o:title=""/>
                </v:shape>
                <o:OLEObject Type="Embed" ProgID="Equation.3" ShapeID="_x0000_i1040" DrawAspect="Content" ObjectID="_1305984796" r:id="rId42"/>
              </w:object>
            </w:r>
          </w:p>
        </w:tc>
        <w:tc>
          <w:tcPr>
            <w:tcW w:w="1210" w:type="dxa"/>
            <w:vAlign w:val="center"/>
          </w:tcPr>
          <w:p w:rsidR="00664F95" w:rsidRDefault="00664F95" w:rsidP="00664F95">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II</w:t>
            </w:r>
            <w:r w:rsidR="004D419A">
              <w:rPr>
                <w:rFonts w:ascii="Times New Roman" w:hAnsi="Times New Roman"/>
                <w:sz w:val="24"/>
                <w:szCs w:val="24"/>
              </w:rPr>
              <w:t>.</w:t>
            </w:r>
            <w:r>
              <w:rPr>
                <w:rFonts w:ascii="Times New Roman" w:hAnsi="Times New Roman"/>
                <w:sz w:val="24"/>
                <w:szCs w:val="24"/>
              </w:rPr>
              <w:t>6)</w:t>
            </w:r>
          </w:p>
        </w:tc>
      </w:tr>
    </w:tbl>
    <w:p w:rsidR="00111D80" w:rsidRDefault="00111D80" w:rsidP="00541F0F">
      <w:pPr>
        <w:tabs>
          <w:tab w:val="left" w:pos="1139"/>
        </w:tabs>
        <w:spacing w:before="120" w:after="0" w:line="360" w:lineRule="auto"/>
        <w:rPr>
          <w:rFonts w:ascii="Times New Roman" w:hAnsi="Times New Roman"/>
          <w:sz w:val="24"/>
          <w:szCs w:val="24"/>
        </w:rPr>
      </w:pPr>
    </w:p>
    <w:p w:rsidR="00111D80" w:rsidRPr="00D26EA4" w:rsidRDefault="00111D80" w:rsidP="00D26EA4">
      <w:pPr>
        <w:pStyle w:val="a6"/>
        <w:numPr>
          <w:ilvl w:val="0"/>
          <w:numId w:val="30"/>
        </w:numPr>
        <w:spacing w:after="0" w:line="360" w:lineRule="auto"/>
        <w:jc w:val="both"/>
        <w:rPr>
          <w:rFonts w:ascii="Times New Roman" w:hAnsi="Times New Roman"/>
          <w:sz w:val="24"/>
          <w:szCs w:val="24"/>
        </w:rPr>
      </w:pPr>
      <w:r w:rsidRPr="00D26EA4">
        <w:rPr>
          <w:rFonts w:ascii="Times New Roman" w:hAnsi="Times New Roman"/>
          <w:sz w:val="24"/>
          <w:szCs w:val="24"/>
        </w:rPr>
        <w:t xml:space="preserve">L’écart à la stœchiométrie  </w:t>
      </w:r>
      <w:r>
        <w:sym w:font="Symbol" w:char="F044"/>
      </w:r>
      <w:r w:rsidRPr="00D26EA4">
        <w:rPr>
          <w:rFonts w:ascii="Times New Roman" w:hAnsi="Times New Roman"/>
          <w:sz w:val="24"/>
          <w:szCs w:val="24"/>
        </w:rPr>
        <w:t>y implique un écart à la règl</w:t>
      </w:r>
      <w:r w:rsidR="00D26EA4">
        <w:rPr>
          <w:rFonts w:ascii="Times New Roman" w:hAnsi="Times New Roman"/>
          <w:sz w:val="24"/>
          <w:szCs w:val="24"/>
        </w:rPr>
        <w:t xml:space="preserve">e des quatre électrons par site </w:t>
      </w:r>
      <w:r w:rsidRPr="00D26EA4">
        <w:rPr>
          <w:rFonts w:ascii="Times New Roman" w:hAnsi="Times New Roman"/>
          <w:sz w:val="24"/>
          <w:szCs w:val="24"/>
        </w:rPr>
        <w:t>et à un excès ou un déficit d’électrons pour former les liaisons tétraédriques. Cela s’exprime en considérant un excès (ou un déficit) de l’un des trois éléments par rapport à la ligne pseudo-binaire Cu</w:t>
      </w:r>
      <w:r w:rsidRPr="00D26EA4">
        <w:rPr>
          <w:rFonts w:ascii="Times New Roman" w:hAnsi="Times New Roman"/>
          <w:sz w:val="24"/>
          <w:szCs w:val="24"/>
          <w:vertAlign w:val="subscript"/>
        </w:rPr>
        <w:t>2</w:t>
      </w:r>
      <w:r w:rsidRPr="00D26EA4">
        <w:rPr>
          <w:rFonts w:ascii="Times New Roman" w:hAnsi="Times New Roman"/>
          <w:sz w:val="24"/>
          <w:szCs w:val="24"/>
        </w:rPr>
        <w:t>Se-In</w:t>
      </w:r>
      <w:r w:rsidRPr="00D26EA4">
        <w:rPr>
          <w:rFonts w:ascii="Times New Roman" w:hAnsi="Times New Roman"/>
          <w:sz w:val="24"/>
          <w:szCs w:val="24"/>
          <w:vertAlign w:val="subscript"/>
        </w:rPr>
        <w:t>2</w:t>
      </w:r>
      <w:r w:rsidRPr="00D26EA4">
        <w:rPr>
          <w:rFonts w:ascii="Times New Roman" w:hAnsi="Times New Roman"/>
          <w:sz w:val="24"/>
          <w:szCs w:val="24"/>
        </w:rPr>
        <w:t>Se</w:t>
      </w:r>
      <w:r w:rsidRPr="00D26EA4">
        <w:rPr>
          <w:rFonts w:ascii="Times New Roman" w:hAnsi="Times New Roman"/>
          <w:sz w:val="24"/>
          <w:szCs w:val="24"/>
          <w:vertAlign w:val="subscript"/>
        </w:rPr>
        <w:t>3</w:t>
      </w:r>
      <w:r w:rsidRPr="00D26EA4">
        <w:rPr>
          <w:rFonts w:ascii="Times New Roman" w:hAnsi="Times New Roman"/>
          <w:sz w:val="24"/>
          <w:szCs w:val="24"/>
        </w:rPr>
        <w:t>.</w:t>
      </w:r>
    </w:p>
    <w:tbl>
      <w:tblPr>
        <w:tblpPr w:leftFromText="141" w:rightFromText="141" w:vertAnchor="text" w:horzAnchor="margin" w:tblpY="20"/>
        <w:tblOverlap w:val="never"/>
        <w:tblW w:w="0" w:type="auto"/>
        <w:tblBorders>
          <w:insideH w:val="single" w:sz="4" w:space="0" w:color="auto"/>
        </w:tblBorders>
        <w:tblLook w:val="01E0"/>
      </w:tblPr>
      <w:tblGrid>
        <w:gridCol w:w="7948"/>
        <w:gridCol w:w="1207"/>
      </w:tblGrid>
      <w:tr w:rsidR="00664F95" w:rsidTr="00664F95">
        <w:trPr>
          <w:trHeight w:val="916"/>
        </w:trPr>
        <w:tc>
          <w:tcPr>
            <w:tcW w:w="7948" w:type="dxa"/>
            <w:vAlign w:val="center"/>
          </w:tcPr>
          <w:p w:rsidR="00664F95" w:rsidRDefault="00664F95" w:rsidP="00541F0F">
            <w:pPr>
              <w:spacing w:before="120" w:after="0" w:line="360" w:lineRule="auto"/>
              <w:ind w:firstLine="1134"/>
              <w:rPr>
                <w:rFonts w:ascii="Times New Roman" w:hAnsi="Times New Roman"/>
                <w:sz w:val="24"/>
                <w:szCs w:val="24"/>
              </w:rPr>
            </w:pPr>
            <w:r w:rsidRPr="00C446DF">
              <w:rPr>
                <w:position w:val="-28"/>
                <w:sz w:val="24"/>
                <w:szCs w:val="24"/>
              </w:rPr>
              <w:object w:dxaOrig="2000" w:dyaOrig="660">
                <v:shape id="_x0000_i1041" type="#_x0000_t75" style="width:100.55pt;height:32.6pt" o:ole="">
                  <v:imagedata r:id="rId43" o:title=""/>
                </v:shape>
                <o:OLEObject Type="Embed" ProgID="Equation.3" ShapeID="_x0000_i1041" DrawAspect="Content" ObjectID="_1305984797" r:id="rId44"/>
              </w:object>
            </w:r>
          </w:p>
        </w:tc>
        <w:tc>
          <w:tcPr>
            <w:tcW w:w="1207" w:type="dxa"/>
            <w:vAlign w:val="center"/>
          </w:tcPr>
          <w:p w:rsidR="00664F95" w:rsidRDefault="00664F95" w:rsidP="00664F95">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II</w:t>
            </w:r>
            <w:r w:rsidR="004D419A">
              <w:rPr>
                <w:rFonts w:ascii="Times New Roman" w:hAnsi="Times New Roman"/>
                <w:sz w:val="24"/>
                <w:szCs w:val="24"/>
              </w:rPr>
              <w:t>.</w:t>
            </w:r>
            <w:r>
              <w:rPr>
                <w:rFonts w:ascii="Times New Roman" w:hAnsi="Times New Roman"/>
                <w:sz w:val="24"/>
                <w:szCs w:val="24"/>
              </w:rPr>
              <w:t>7)</w:t>
            </w:r>
          </w:p>
        </w:tc>
      </w:tr>
    </w:tbl>
    <w:p w:rsidR="00111D80" w:rsidRDefault="00664F95" w:rsidP="00541F0F">
      <w:pPr>
        <w:spacing w:before="120" w:after="0" w:line="360" w:lineRule="auto"/>
        <w:jc w:val="both"/>
        <w:rPr>
          <w:rFonts w:ascii="Times New Roman" w:hAnsi="Times New Roman"/>
          <w:sz w:val="24"/>
          <w:szCs w:val="24"/>
        </w:rPr>
      </w:pPr>
      <w:r>
        <w:rPr>
          <w:rFonts w:ascii="Times New Roman" w:hAnsi="Times New Roman"/>
          <w:sz w:val="24"/>
          <w:szCs w:val="24"/>
        </w:rPr>
        <w:lastRenderedPageBreak/>
        <w:t>Où</w:t>
      </w:r>
      <w:r w:rsidR="00111D80">
        <w:rPr>
          <w:rFonts w:ascii="Times New Roman" w:hAnsi="Times New Roman"/>
          <w:sz w:val="24"/>
          <w:szCs w:val="24"/>
        </w:rPr>
        <w:t> </w:t>
      </w:r>
      <w:r w:rsidR="00111D80">
        <w:rPr>
          <w:rFonts w:ascii="Times New Roman" w:hAnsi="Times New Roman"/>
          <w:sz w:val="24"/>
          <w:szCs w:val="24"/>
        </w:rPr>
        <w:sym w:font="Symbol" w:char="F05B"/>
      </w:r>
      <w:r w:rsidR="00111D80">
        <w:rPr>
          <w:rFonts w:ascii="Times New Roman" w:hAnsi="Times New Roman"/>
          <w:i/>
          <w:sz w:val="24"/>
          <w:szCs w:val="24"/>
        </w:rPr>
        <w:t>Cu</w:t>
      </w:r>
      <w:r w:rsidR="00111D80">
        <w:rPr>
          <w:rFonts w:ascii="Times New Roman" w:hAnsi="Times New Roman"/>
          <w:sz w:val="24"/>
          <w:szCs w:val="24"/>
        </w:rPr>
        <w:sym w:font="Symbol" w:char="F05D"/>
      </w:r>
      <w:r w:rsidR="00111D80">
        <w:rPr>
          <w:rFonts w:ascii="Times New Roman" w:hAnsi="Times New Roman"/>
          <w:sz w:val="24"/>
          <w:szCs w:val="24"/>
        </w:rPr>
        <w:t xml:space="preserve">, </w:t>
      </w:r>
      <w:r w:rsidR="00111D80">
        <w:rPr>
          <w:rFonts w:ascii="Times New Roman" w:hAnsi="Times New Roman"/>
          <w:sz w:val="24"/>
          <w:szCs w:val="24"/>
        </w:rPr>
        <w:sym w:font="Symbol" w:char="F05B"/>
      </w:r>
      <w:r w:rsidR="00111D80">
        <w:rPr>
          <w:rFonts w:ascii="Times New Roman" w:hAnsi="Times New Roman"/>
          <w:i/>
          <w:iCs/>
          <w:sz w:val="24"/>
          <w:szCs w:val="24"/>
        </w:rPr>
        <w:t>In</w:t>
      </w:r>
      <w:r w:rsidR="00111D80">
        <w:rPr>
          <w:rFonts w:ascii="Times New Roman" w:hAnsi="Times New Roman"/>
          <w:sz w:val="24"/>
          <w:szCs w:val="24"/>
        </w:rPr>
        <w:sym w:font="Symbol" w:char="F05D"/>
      </w:r>
      <w:r w:rsidR="00111D80">
        <w:rPr>
          <w:rFonts w:ascii="Times New Roman" w:hAnsi="Times New Roman"/>
          <w:sz w:val="24"/>
          <w:szCs w:val="24"/>
        </w:rPr>
        <w:t xml:space="preserve"> et </w:t>
      </w:r>
      <w:r w:rsidR="00111D80">
        <w:rPr>
          <w:rFonts w:ascii="Times New Roman" w:hAnsi="Times New Roman"/>
          <w:sz w:val="24"/>
          <w:szCs w:val="24"/>
        </w:rPr>
        <w:sym w:font="Symbol" w:char="F05B"/>
      </w:r>
      <w:r w:rsidR="00111D80">
        <w:rPr>
          <w:rFonts w:ascii="Times New Roman" w:hAnsi="Times New Roman"/>
          <w:i/>
          <w:iCs/>
          <w:sz w:val="24"/>
          <w:szCs w:val="24"/>
        </w:rPr>
        <w:t>Se</w:t>
      </w:r>
      <w:r w:rsidR="00111D80">
        <w:rPr>
          <w:rFonts w:ascii="Times New Roman" w:hAnsi="Times New Roman"/>
          <w:sz w:val="24"/>
          <w:szCs w:val="24"/>
        </w:rPr>
        <w:sym w:font="Symbol" w:char="F05D"/>
      </w:r>
      <w:r w:rsidR="00111D80">
        <w:rPr>
          <w:rFonts w:ascii="Times New Roman" w:hAnsi="Times New Roman"/>
          <w:sz w:val="24"/>
          <w:szCs w:val="24"/>
        </w:rPr>
        <w:t xml:space="preserve"> sont respectivement les concentrations totales en atomes Cu, In et Se. </w:t>
      </w:r>
      <w:r w:rsidR="00111D80">
        <w:rPr>
          <w:rFonts w:ascii="Times New Roman" w:hAnsi="Times New Roman"/>
          <w:sz w:val="24"/>
          <w:szCs w:val="24"/>
        </w:rPr>
        <w:sym w:font="Symbol" w:char="F044"/>
      </w:r>
      <w:r w:rsidR="00111D80">
        <w:rPr>
          <w:rFonts w:ascii="Times New Roman" w:hAnsi="Times New Roman"/>
          <w:sz w:val="24"/>
          <w:szCs w:val="24"/>
        </w:rPr>
        <w:t xml:space="preserve">m divise le triangle en deux parties, une région où la composition est riche en cuivre correspondant à </w:t>
      </w:r>
      <w:r w:rsidR="00111D80">
        <w:rPr>
          <w:rFonts w:ascii="Times New Roman" w:hAnsi="Times New Roman"/>
          <w:sz w:val="24"/>
          <w:szCs w:val="24"/>
        </w:rPr>
        <w:sym w:font="Symbol" w:char="F044"/>
      </w:r>
      <w:r w:rsidR="00111D80">
        <w:rPr>
          <w:rFonts w:ascii="Times New Roman" w:hAnsi="Times New Roman"/>
          <w:sz w:val="24"/>
          <w:szCs w:val="24"/>
        </w:rPr>
        <w:t xml:space="preserve">m &gt;0, et une autre où </w:t>
      </w:r>
      <w:r w:rsidR="00111D80">
        <w:rPr>
          <w:rFonts w:ascii="Times New Roman" w:hAnsi="Times New Roman"/>
          <w:sz w:val="24"/>
          <w:szCs w:val="24"/>
        </w:rPr>
        <w:sym w:font="Symbol" w:char="F044"/>
      </w:r>
      <w:r w:rsidR="00111D80">
        <w:rPr>
          <w:rFonts w:ascii="Times New Roman" w:hAnsi="Times New Roman"/>
          <w:sz w:val="24"/>
          <w:szCs w:val="24"/>
        </w:rPr>
        <w:t xml:space="preserve">m &lt;0 qui correspond à la région pauvre en cuivre. L’écart à la stœchiométrie </w:t>
      </w:r>
      <w:r w:rsidR="00111D80">
        <w:rPr>
          <w:rFonts w:ascii="Times New Roman" w:hAnsi="Times New Roman"/>
          <w:sz w:val="24"/>
          <w:szCs w:val="24"/>
        </w:rPr>
        <w:sym w:font="Symbol" w:char="F044"/>
      </w:r>
      <w:r w:rsidR="00111D80">
        <w:rPr>
          <w:rFonts w:ascii="Times New Roman" w:hAnsi="Times New Roman"/>
          <w:sz w:val="24"/>
          <w:szCs w:val="24"/>
        </w:rPr>
        <w:t xml:space="preserve">y décrit l’écart compositionnel </w:t>
      </w:r>
      <w:r w:rsidR="008E7B3C">
        <w:rPr>
          <w:rFonts w:ascii="Times New Roman" w:hAnsi="Times New Roman"/>
          <w:sz w:val="24"/>
          <w:szCs w:val="24"/>
        </w:rPr>
        <w:t>du</w:t>
      </w:r>
      <w:r w:rsidR="00111D80">
        <w:rPr>
          <w:rFonts w:ascii="Times New Roman" w:hAnsi="Times New Roman"/>
          <w:sz w:val="24"/>
          <w:szCs w:val="24"/>
        </w:rPr>
        <w:t xml:space="preserve"> pseudo ligne binaire Cu</w:t>
      </w:r>
      <w:r w:rsidR="00111D80">
        <w:rPr>
          <w:rFonts w:ascii="Times New Roman" w:hAnsi="Times New Roman"/>
          <w:sz w:val="24"/>
          <w:szCs w:val="24"/>
          <w:vertAlign w:val="subscript"/>
        </w:rPr>
        <w:t>2</w:t>
      </w:r>
      <w:r w:rsidR="00111D80">
        <w:rPr>
          <w:rFonts w:ascii="Times New Roman" w:hAnsi="Times New Roman"/>
          <w:sz w:val="24"/>
          <w:szCs w:val="24"/>
        </w:rPr>
        <w:t>Se-In</w:t>
      </w:r>
      <w:r w:rsidR="00111D80">
        <w:rPr>
          <w:rFonts w:ascii="Times New Roman" w:hAnsi="Times New Roman"/>
          <w:sz w:val="24"/>
          <w:szCs w:val="24"/>
          <w:vertAlign w:val="subscript"/>
        </w:rPr>
        <w:t>2</w:t>
      </w:r>
      <w:r w:rsidR="00111D80">
        <w:rPr>
          <w:rFonts w:ascii="Times New Roman" w:hAnsi="Times New Roman"/>
          <w:sz w:val="24"/>
          <w:szCs w:val="24"/>
        </w:rPr>
        <w:t>Se</w:t>
      </w:r>
      <w:r w:rsidR="00111D80">
        <w:rPr>
          <w:rFonts w:ascii="Times New Roman" w:hAnsi="Times New Roman"/>
          <w:sz w:val="24"/>
          <w:szCs w:val="24"/>
          <w:vertAlign w:val="subscript"/>
        </w:rPr>
        <w:t>3</w:t>
      </w:r>
      <w:r w:rsidR="00111D80">
        <w:rPr>
          <w:rFonts w:ascii="Times New Roman" w:hAnsi="Times New Roman"/>
          <w:sz w:val="24"/>
          <w:szCs w:val="24"/>
        </w:rPr>
        <w:t xml:space="preserve"> et permet de déterminer s’il y a un excès (</w:t>
      </w:r>
      <w:r w:rsidR="00111D80">
        <w:rPr>
          <w:rFonts w:ascii="Times New Roman" w:hAnsi="Times New Roman"/>
          <w:sz w:val="24"/>
          <w:szCs w:val="24"/>
        </w:rPr>
        <w:sym w:font="Symbol" w:char="F044"/>
      </w:r>
      <w:r w:rsidR="00111D80">
        <w:rPr>
          <w:rFonts w:ascii="Times New Roman" w:hAnsi="Times New Roman"/>
          <w:sz w:val="24"/>
          <w:szCs w:val="24"/>
        </w:rPr>
        <w:t>y&gt;0) ou un déficit (</w:t>
      </w:r>
      <w:r w:rsidR="00111D80">
        <w:rPr>
          <w:rFonts w:ascii="Times New Roman" w:hAnsi="Times New Roman"/>
          <w:sz w:val="24"/>
          <w:szCs w:val="24"/>
        </w:rPr>
        <w:sym w:font="Symbol" w:char="F044"/>
      </w:r>
      <w:r w:rsidR="00111D80">
        <w:rPr>
          <w:rFonts w:ascii="Times New Roman" w:hAnsi="Times New Roman"/>
          <w:sz w:val="24"/>
          <w:szCs w:val="24"/>
        </w:rPr>
        <w:t>y&lt;0) des anions par rapport aux cations.</w:t>
      </w:r>
    </w:p>
    <w:p w:rsidR="00541F0F" w:rsidRDefault="00111D80" w:rsidP="00541F0F">
      <w:pPr>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Comme montré par </w:t>
      </w:r>
      <w:r>
        <w:rPr>
          <w:rFonts w:ascii="Times New Roman" w:hAnsi="Times New Roman"/>
          <w:color w:val="000000"/>
          <w:sz w:val="24"/>
          <w:szCs w:val="24"/>
        </w:rPr>
        <w:t xml:space="preserve">Binsma </w:t>
      </w:r>
      <w:r w:rsidRPr="00816009">
        <w:rPr>
          <w:rFonts w:ascii="Times New Roman" w:hAnsi="Times New Roman"/>
          <w:color w:val="000000" w:themeColor="text1"/>
          <w:sz w:val="24"/>
          <w:szCs w:val="24"/>
        </w:rPr>
        <w:t>[</w:t>
      </w:r>
      <w:r w:rsidR="008E7B3C">
        <w:rPr>
          <w:rFonts w:ascii="Times New Roman" w:hAnsi="Times New Roman"/>
          <w:color w:val="000000" w:themeColor="text1"/>
          <w:sz w:val="24"/>
          <w:szCs w:val="24"/>
        </w:rPr>
        <w:t>49</w:t>
      </w:r>
      <w:r w:rsidRPr="00816009">
        <w:rPr>
          <w:rFonts w:ascii="Times New Roman" w:hAnsi="Times New Roman"/>
          <w:color w:val="000000" w:themeColor="text1"/>
          <w:sz w:val="24"/>
          <w:szCs w:val="24"/>
        </w:rPr>
        <w:t xml:space="preserve">], le changement de </w:t>
      </w:r>
      <w:r w:rsidRPr="00816009">
        <w:rPr>
          <w:rFonts w:ascii="Times New Roman" w:hAnsi="Times New Roman"/>
          <w:color w:val="000000" w:themeColor="text1"/>
          <w:sz w:val="24"/>
          <w:szCs w:val="24"/>
        </w:rPr>
        <w:sym w:font="Symbol" w:char="F044"/>
      </w:r>
      <w:r w:rsidRPr="00816009">
        <w:rPr>
          <w:rFonts w:ascii="Times New Roman" w:hAnsi="Times New Roman"/>
          <w:color w:val="000000" w:themeColor="text1"/>
          <w:sz w:val="24"/>
          <w:szCs w:val="24"/>
        </w:rPr>
        <w:t>m le long de la pseudo-ligne Cu</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Se-In</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Se</w:t>
      </w:r>
      <w:r w:rsidRPr="00816009">
        <w:rPr>
          <w:rFonts w:ascii="Times New Roman" w:hAnsi="Times New Roman"/>
          <w:color w:val="000000" w:themeColor="text1"/>
          <w:sz w:val="24"/>
          <w:szCs w:val="24"/>
          <w:vertAlign w:val="subscript"/>
        </w:rPr>
        <w:t xml:space="preserve">3 </w:t>
      </w:r>
      <w:r w:rsidRPr="00816009">
        <w:rPr>
          <w:rFonts w:ascii="Times New Roman" w:hAnsi="Times New Roman"/>
          <w:color w:val="000000" w:themeColor="text1"/>
          <w:sz w:val="24"/>
          <w:szCs w:val="24"/>
        </w:rPr>
        <w:t>(</w:t>
      </w:r>
      <w:r w:rsidRPr="00816009">
        <w:rPr>
          <w:rFonts w:ascii="Times New Roman" w:hAnsi="Times New Roman"/>
          <w:color w:val="000000" w:themeColor="text1"/>
          <w:sz w:val="24"/>
          <w:szCs w:val="24"/>
        </w:rPr>
        <w:sym w:font="Symbol" w:char="F044"/>
      </w:r>
      <w:r w:rsidRPr="00816009">
        <w:rPr>
          <w:rFonts w:ascii="Times New Roman" w:hAnsi="Times New Roman"/>
          <w:color w:val="000000" w:themeColor="text1"/>
          <w:sz w:val="24"/>
          <w:szCs w:val="24"/>
        </w:rPr>
        <w:t xml:space="preserve">y=0) joue un rôle important en fixant l’excès ou le déficit chimique des états du composé. Toutefois, il ne change pas le type de conductivité. C’est plutôt </w:t>
      </w:r>
      <w:r w:rsidRPr="00816009">
        <w:rPr>
          <w:rFonts w:ascii="Times New Roman" w:hAnsi="Times New Roman"/>
          <w:color w:val="000000" w:themeColor="text1"/>
          <w:sz w:val="24"/>
          <w:szCs w:val="24"/>
        </w:rPr>
        <w:sym w:font="Symbol" w:char="F044"/>
      </w:r>
      <w:r w:rsidRPr="00816009">
        <w:rPr>
          <w:rFonts w:ascii="Times New Roman" w:hAnsi="Times New Roman"/>
          <w:color w:val="000000" w:themeColor="text1"/>
          <w:sz w:val="24"/>
          <w:szCs w:val="24"/>
        </w:rPr>
        <w:t>y qui reflète les propriétés électroniques des Cu-chalcopyrites ainsi que le type de conductivité. En d’autres termes, les propriétés électroniques des Cu-chalcopyrites</w:t>
      </w:r>
      <w:r>
        <w:rPr>
          <w:rFonts w:ascii="Times New Roman" w:hAnsi="Times New Roman"/>
          <w:sz w:val="24"/>
          <w:szCs w:val="24"/>
        </w:rPr>
        <w:t xml:space="preserve"> telles que le type de conductivité, la concentration des porteurs et la mobilité sont principalement déterminés par les défauts intrinsèques. Le type de conductivité est associé à un écart à la règle des quatre électrons par site et à un excès ou un déficit d’électrons pour former les liaisons tétraédriques. Cela s’exprime en considérant un excès (ou un déficit) de l’un des trois éléments par rapport à la ligne pseudo-binaire Cu</w:t>
      </w:r>
      <w:r>
        <w:rPr>
          <w:rFonts w:ascii="Times New Roman" w:hAnsi="Times New Roman"/>
          <w:sz w:val="24"/>
          <w:szCs w:val="24"/>
          <w:vertAlign w:val="subscript"/>
        </w:rPr>
        <w:t>2</w:t>
      </w:r>
      <w:r>
        <w:rPr>
          <w:rFonts w:ascii="Times New Roman" w:hAnsi="Times New Roman"/>
          <w:sz w:val="24"/>
          <w:szCs w:val="24"/>
        </w:rPr>
        <w:t>Se-In</w:t>
      </w:r>
      <w:r>
        <w:rPr>
          <w:rFonts w:ascii="Times New Roman" w:hAnsi="Times New Roman"/>
          <w:sz w:val="24"/>
          <w:szCs w:val="24"/>
          <w:vertAlign w:val="subscript"/>
        </w:rPr>
        <w:t>2</w:t>
      </w:r>
      <w:r>
        <w:rPr>
          <w:rFonts w:ascii="Times New Roman" w:hAnsi="Times New Roman"/>
          <w:sz w:val="24"/>
          <w:szCs w:val="24"/>
        </w:rPr>
        <w:t>Se</w:t>
      </w:r>
      <w:r>
        <w:rPr>
          <w:rFonts w:ascii="Times New Roman" w:hAnsi="Times New Roman"/>
          <w:sz w:val="24"/>
          <w:szCs w:val="24"/>
          <w:vertAlign w:val="subscript"/>
        </w:rPr>
        <w:t>3</w:t>
      </w:r>
      <w:r>
        <w:rPr>
          <w:rFonts w:ascii="Times New Roman" w:hAnsi="Times New Roman"/>
          <w:sz w:val="24"/>
          <w:szCs w:val="24"/>
        </w:rPr>
        <w:t>.</w:t>
      </w:r>
    </w:p>
    <w:p w:rsidR="00111D80" w:rsidRPr="00541F0F" w:rsidRDefault="00111D80" w:rsidP="00541F0F">
      <w:pPr>
        <w:spacing w:before="120" w:after="0" w:line="360" w:lineRule="auto"/>
        <w:jc w:val="both"/>
        <w:rPr>
          <w:rFonts w:ascii="Times New Roman" w:hAnsi="Times New Roman"/>
          <w:sz w:val="24"/>
          <w:szCs w:val="24"/>
        </w:rPr>
      </w:pPr>
      <w:r>
        <w:rPr>
          <w:rFonts w:ascii="Times New Roman" w:hAnsi="Times New Roman"/>
          <w:b/>
          <w:bCs/>
          <w:sz w:val="24"/>
          <w:szCs w:val="24"/>
        </w:rPr>
        <w:t>II.</w:t>
      </w:r>
      <w:r w:rsidR="009D479F">
        <w:rPr>
          <w:rFonts w:ascii="Times New Roman" w:hAnsi="Times New Roman"/>
          <w:b/>
          <w:bCs/>
          <w:sz w:val="24"/>
          <w:szCs w:val="24"/>
        </w:rPr>
        <w:t>4</w:t>
      </w:r>
      <w:r>
        <w:rPr>
          <w:rFonts w:ascii="Times New Roman" w:hAnsi="Times New Roman"/>
          <w:b/>
          <w:bCs/>
          <w:sz w:val="24"/>
          <w:szCs w:val="24"/>
        </w:rPr>
        <w:t>.2</w:t>
      </w:r>
      <w:r w:rsidR="00D2168B">
        <w:rPr>
          <w:rFonts w:ascii="Times New Roman" w:hAnsi="Times New Roman"/>
          <w:b/>
          <w:bCs/>
          <w:sz w:val="24"/>
          <w:szCs w:val="24"/>
        </w:rPr>
        <w:t>.</w:t>
      </w:r>
      <w:r>
        <w:rPr>
          <w:rFonts w:ascii="Times New Roman" w:hAnsi="Times New Roman"/>
          <w:b/>
          <w:bCs/>
          <w:sz w:val="24"/>
          <w:szCs w:val="24"/>
        </w:rPr>
        <w:t xml:space="preserve"> Le Système ternaire Cu-(In+Ga)-Se</w:t>
      </w:r>
    </w:p>
    <w:p w:rsidR="00111D80" w:rsidRPr="00816009" w:rsidRDefault="00111D80" w:rsidP="00541F0F">
      <w:pPr>
        <w:spacing w:before="120"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 xml:space="preserve">De la même façon, ces propriétés s’appliquent à un alliage quaternaire assimilé à une solution solide de type </w:t>
      </w:r>
      <w:r w:rsidR="00664F95">
        <w:rPr>
          <w:rFonts w:ascii="Times New Roman" w:hAnsi="Times New Roman"/>
          <w:sz w:val="24"/>
          <w:szCs w:val="24"/>
        </w:rPr>
        <w:t>Cu (</w:t>
      </w:r>
      <w:r>
        <w:rPr>
          <w:rFonts w:ascii="Times New Roman" w:hAnsi="Times New Roman"/>
          <w:sz w:val="24"/>
          <w:szCs w:val="24"/>
        </w:rPr>
        <w:t>In,Ga)Se</w:t>
      </w:r>
      <w:r>
        <w:rPr>
          <w:rFonts w:ascii="Times New Roman" w:hAnsi="Times New Roman"/>
          <w:sz w:val="24"/>
          <w:szCs w:val="24"/>
          <w:vertAlign w:val="subscript"/>
        </w:rPr>
        <w:t>2</w:t>
      </w:r>
      <w:r>
        <w:rPr>
          <w:rFonts w:ascii="Times New Roman" w:hAnsi="Times New Roman"/>
          <w:sz w:val="24"/>
          <w:szCs w:val="24"/>
        </w:rPr>
        <w:t xml:space="preserve">. Ainsi, un composé ternaire </w:t>
      </w:r>
      <w:r w:rsidR="00664F95">
        <w:rPr>
          <w:rFonts w:ascii="Times New Roman" w:hAnsi="Times New Roman"/>
          <w:sz w:val="24"/>
          <w:szCs w:val="24"/>
        </w:rPr>
        <w:t>A (</w:t>
      </w:r>
      <w:r>
        <w:rPr>
          <w:rFonts w:ascii="Times New Roman" w:hAnsi="Times New Roman"/>
          <w:sz w:val="24"/>
          <w:szCs w:val="24"/>
        </w:rPr>
        <w:t>B+C</w:t>
      </w:r>
      <w:r w:rsidR="00664F95">
        <w:rPr>
          <w:rFonts w:ascii="Times New Roman" w:hAnsi="Times New Roman"/>
          <w:sz w:val="24"/>
          <w:szCs w:val="24"/>
        </w:rPr>
        <w:t>) X</w:t>
      </w:r>
      <w:r w:rsidR="00664F95" w:rsidRPr="00664F95">
        <w:rPr>
          <w:rFonts w:ascii="Times New Roman" w:hAnsi="Times New Roman"/>
          <w:sz w:val="24"/>
          <w:szCs w:val="24"/>
          <w:vertAlign w:val="subscript"/>
        </w:rPr>
        <w:t>2</w:t>
      </w:r>
      <w:r>
        <w:rPr>
          <w:rFonts w:ascii="Times New Roman" w:hAnsi="Times New Roman"/>
          <w:sz w:val="24"/>
          <w:szCs w:val="24"/>
        </w:rPr>
        <w:t xml:space="preserve">  est considéré comme un pseudo-binaire, résultant du mélange de deux composés A</w:t>
      </w:r>
      <w:r>
        <w:rPr>
          <w:rFonts w:ascii="Times New Roman" w:hAnsi="Times New Roman"/>
          <w:sz w:val="24"/>
          <w:szCs w:val="24"/>
          <w:vertAlign w:val="subscript"/>
        </w:rPr>
        <w:t>2</w:t>
      </w:r>
      <w:r>
        <w:rPr>
          <w:rFonts w:ascii="Times New Roman" w:hAnsi="Times New Roman"/>
          <w:sz w:val="24"/>
          <w:szCs w:val="24"/>
        </w:rPr>
        <w:t>X et (B+C</w:t>
      </w:r>
      <w:r w:rsidR="00664F95">
        <w:rPr>
          <w:rFonts w:ascii="Times New Roman" w:hAnsi="Times New Roman"/>
          <w:sz w:val="24"/>
          <w:szCs w:val="24"/>
        </w:rPr>
        <w:t>)</w:t>
      </w:r>
      <w:r w:rsidR="00664F95">
        <w:rPr>
          <w:rFonts w:ascii="Times New Roman" w:hAnsi="Times New Roman"/>
          <w:sz w:val="24"/>
          <w:szCs w:val="24"/>
          <w:vertAlign w:val="subscript"/>
        </w:rPr>
        <w:t>2</w:t>
      </w:r>
      <w:r w:rsidR="00664F95" w:rsidRPr="00664F95">
        <w:rPr>
          <w:rFonts w:ascii="Times New Roman" w:hAnsi="Times New Roman"/>
          <w:sz w:val="24"/>
          <w:szCs w:val="24"/>
        </w:rPr>
        <w:t>X</w:t>
      </w:r>
      <w:r w:rsidR="00664F95">
        <w:rPr>
          <w:rFonts w:ascii="Times New Roman" w:hAnsi="Times New Roman"/>
          <w:sz w:val="24"/>
          <w:szCs w:val="24"/>
          <w:vertAlign w:val="subscript"/>
        </w:rPr>
        <w:t>3</w:t>
      </w:r>
      <w:r>
        <w:rPr>
          <w:rFonts w:ascii="Times New Roman" w:hAnsi="Times New Roman"/>
          <w:sz w:val="24"/>
          <w:szCs w:val="24"/>
        </w:rPr>
        <w:t xml:space="preserve">. D’après les travaux de Choi </w:t>
      </w:r>
      <w:r w:rsidR="008E7B3C">
        <w:rPr>
          <w:rFonts w:ascii="Times New Roman" w:hAnsi="Times New Roman"/>
          <w:color w:val="000000" w:themeColor="text1"/>
          <w:sz w:val="24"/>
          <w:szCs w:val="24"/>
        </w:rPr>
        <w:t>et al. [35</w:t>
      </w:r>
      <w:r w:rsidRPr="00816009">
        <w:rPr>
          <w:rFonts w:ascii="Times New Roman" w:hAnsi="Times New Roman"/>
          <w:color w:val="000000" w:themeColor="text1"/>
          <w:sz w:val="24"/>
          <w:szCs w:val="24"/>
        </w:rPr>
        <w:t xml:space="preserve">], le composé </w:t>
      </w:r>
      <w:r w:rsidR="00664F95" w:rsidRPr="00816009">
        <w:rPr>
          <w:rFonts w:ascii="Times New Roman" w:hAnsi="Times New Roman"/>
          <w:color w:val="000000" w:themeColor="text1"/>
          <w:sz w:val="24"/>
          <w:szCs w:val="24"/>
        </w:rPr>
        <w:t>Cu (</w:t>
      </w:r>
      <w:r w:rsidRPr="00816009">
        <w:rPr>
          <w:rFonts w:ascii="Times New Roman" w:hAnsi="Times New Roman"/>
          <w:color w:val="000000" w:themeColor="text1"/>
          <w:sz w:val="24"/>
          <w:szCs w:val="24"/>
        </w:rPr>
        <w:t>In,Ga)Se</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représenté par un point sur la ligne d’attache peut être considéré comme un alliage (Cu</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Se)</w:t>
      </w:r>
      <w:r w:rsidRPr="00816009">
        <w:rPr>
          <w:rFonts w:ascii="Times New Roman" w:hAnsi="Times New Roman"/>
          <w:color w:val="000000" w:themeColor="text1"/>
          <w:sz w:val="24"/>
          <w:szCs w:val="24"/>
          <w:vertAlign w:val="subscript"/>
        </w:rPr>
        <w:t>x</w:t>
      </w:r>
      <w:r w:rsidRPr="00816009">
        <w:rPr>
          <w:rFonts w:ascii="Times New Roman" w:hAnsi="Times New Roman"/>
          <w:color w:val="000000" w:themeColor="text1"/>
          <w:sz w:val="24"/>
          <w:szCs w:val="24"/>
        </w:rPr>
        <w:t>((In+Ga)</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Se</w:t>
      </w:r>
      <w:r w:rsidRPr="00816009">
        <w:rPr>
          <w:rFonts w:ascii="Times New Roman" w:hAnsi="Times New Roman"/>
          <w:color w:val="000000" w:themeColor="text1"/>
          <w:sz w:val="24"/>
          <w:szCs w:val="24"/>
          <w:vertAlign w:val="subscript"/>
        </w:rPr>
        <w:t>3</w:t>
      </w:r>
      <w:r w:rsidRPr="00816009">
        <w:rPr>
          <w:rFonts w:ascii="Times New Roman" w:hAnsi="Times New Roman"/>
          <w:color w:val="000000" w:themeColor="text1"/>
          <w:sz w:val="24"/>
          <w:szCs w:val="24"/>
        </w:rPr>
        <w:t>)</w:t>
      </w:r>
      <w:r w:rsidRPr="00816009">
        <w:rPr>
          <w:rFonts w:ascii="Times New Roman" w:hAnsi="Times New Roman"/>
          <w:color w:val="000000" w:themeColor="text1"/>
          <w:sz w:val="24"/>
          <w:szCs w:val="24"/>
          <w:vertAlign w:val="subscript"/>
        </w:rPr>
        <w:t>1-x </w:t>
      </w:r>
      <w:r w:rsidRPr="00816009">
        <w:rPr>
          <w:rFonts w:ascii="Times New Roman" w:hAnsi="Times New Roman"/>
          <w:color w:val="000000" w:themeColor="text1"/>
          <w:sz w:val="24"/>
          <w:szCs w:val="24"/>
        </w:rPr>
        <w:t xml:space="preserve"> et il est stœchiométrique dans le cas où le rapport (Cu/(In+Ga))=1. Un diagramme compositionnel ternaire du système Cu-(In+Ga)-Se a été donné à partir des compositions de couches minces Cu(In,Ga)Se</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élaborées par MOCVD (Metal-Organic Chemical Vapor Deposition) (figure </w:t>
      </w:r>
      <w:r w:rsidR="005913EC" w:rsidRPr="00D70296">
        <w:rPr>
          <w:rFonts w:asciiTheme="majorBidi" w:hAnsiTheme="majorBidi" w:cstheme="majorBidi"/>
          <w:b/>
          <w:bCs/>
          <w:sz w:val="24"/>
          <w:szCs w:val="24"/>
        </w:rPr>
        <w:t>II</w:t>
      </w:r>
      <w:r w:rsidR="005913EC" w:rsidRPr="005913EC">
        <w:rPr>
          <w:rFonts w:ascii="Times New Roman" w:hAnsi="Times New Roman"/>
          <w:b/>
          <w:color w:val="000000" w:themeColor="text1"/>
          <w:sz w:val="24"/>
          <w:szCs w:val="24"/>
        </w:rPr>
        <w:t>.</w:t>
      </w:r>
      <w:r w:rsidR="00DC38C6" w:rsidRPr="005913EC">
        <w:rPr>
          <w:rFonts w:ascii="Times New Roman" w:hAnsi="Times New Roman"/>
          <w:b/>
          <w:color w:val="000000" w:themeColor="text1"/>
          <w:sz w:val="24"/>
          <w:szCs w:val="24"/>
        </w:rPr>
        <w:t>7</w:t>
      </w:r>
      <w:r w:rsidR="008E7B3C">
        <w:rPr>
          <w:rFonts w:ascii="Times New Roman" w:hAnsi="Times New Roman"/>
          <w:color w:val="000000" w:themeColor="text1"/>
          <w:sz w:val="24"/>
          <w:szCs w:val="24"/>
        </w:rPr>
        <w:t>) [35</w:t>
      </w:r>
      <w:r w:rsidRPr="00816009">
        <w:rPr>
          <w:rFonts w:ascii="Times New Roman" w:hAnsi="Times New Roman"/>
          <w:color w:val="000000" w:themeColor="text1"/>
          <w:sz w:val="24"/>
          <w:szCs w:val="24"/>
        </w:rPr>
        <w:t>].</w:t>
      </w:r>
    </w:p>
    <w:p w:rsidR="00111D80" w:rsidRDefault="00111D80" w:rsidP="00541F0F">
      <w:pPr>
        <w:spacing w:before="120" w:after="0" w:line="360" w:lineRule="auto"/>
        <w:jc w:val="center"/>
        <w:rPr>
          <w:b/>
          <w:bCs/>
        </w:rPr>
      </w:pPr>
      <w:r>
        <w:rPr>
          <w:b/>
          <w:bCs/>
          <w:noProof/>
          <w:lang w:eastAsia="fr-FR"/>
        </w:rPr>
        <w:lastRenderedPageBreak/>
        <w:drawing>
          <wp:inline distT="0" distB="0" distL="0" distR="0">
            <wp:extent cx="4583430" cy="3573145"/>
            <wp:effectExtent l="19050" t="0" r="7620" b="0"/>
            <wp:docPr id="26" name="Image 26" descr="CIGS_Phase Diagram 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IGS_Phase Diagram DELTA"/>
                    <pic:cNvPicPr>
                      <a:picLocks noChangeAspect="1" noChangeArrowheads="1"/>
                    </pic:cNvPicPr>
                  </pic:nvPicPr>
                  <pic:blipFill>
                    <a:blip r:embed="rId45" cstate="print"/>
                    <a:srcRect/>
                    <a:stretch>
                      <a:fillRect/>
                    </a:stretch>
                  </pic:blipFill>
                  <pic:spPr bwMode="auto">
                    <a:xfrm>
                      <a:off x="0" y="0"/>
                      <a:ext cx="4583430" cy="3573145"/>
                    </a:xfrm>
                    <a:prstGeom prst="rect">
                      <a:avLst/>
                    </a:prstGeom>
                    <a:noFill/>
                    <a:ln w="9525">
                      <a:noFill/>
                      <a:miter lim="800000"/>
                      <a:headEnd/>
                      <a:tailEnd/>
                    </a:ln>
                  </pic:spPr>
                </pic:pic>
              </a:graphicData>
            </a:graphic>
          </wp:inline>
        </w:drawing>
      </w:r>
    </w:p>
    <w:p w:rsidR="00111D80" w:rsidRDefault="00111D80" w:rsidP="00541F0F">
      <w:pPr>
        <w:spacing w:before="120" w:after="0"/>
        <w:jc w:val="center"/>
        <w:rPr>
          <w:rFonts w:ascii="Times New Roman" w:hAnsi="Times New Roman"/>
          <w:sz w:val="24"/>
          <w:szCs w:val="24"/>
        </w:rPr>
      </w:pPr>
      <w:r w:rsidRPr="00816009">
        <w:rPr>
          <w:rFonts w:ascii="Times New Roman" w:hAnsi="Times New Roman"/>
          <w:b/>
          <w:bCs/>
          <w:color w:val="000000" w:themeColor="text1"/>
          <w:sz w:val="24"/>
          <w:szCs w:val="24"/>
        </w:rPr>
        <w:t xml:space="preserve">Figure </w:t>
      </w:r>
      <w:r w:rsidR="005913EC" w:rsidRPr="00D70296">
        <w:rPr>
          <w:rFonts w:asciiTheme="majorBidi" w:hAnsiTheme="majorBidi" w:cstheme="majorBidi"/>
          <w:b/>
          <w:bCs/>
          <w:sz w:val="24"/>
          <w:szCs w:val="24"/>
        </w:rPr>
        <w:t>II</w:t>
      </w:r>
      <w:r w:rsidR="005913EC">
        <w:rPr>
          <w:rFonts w:ascii="Times New Roman" w:hAnsi="Times New Roman"/>
          <w:b/>
          <w:bCs/>
          <w:color w:val="000000" w:themeColor="text1"/>
          <w:sz w:val="24"/>
          <w:szCs w:val="24"/>
        </w:rPr>
        <w:t>.</w:t>
      </w:r>
      <w:r w:rsidR="00DC38C6" w:rsidRPr="00816009">
        <w:rPr>
          <w:rFonts w:ascii="Times New Roman" w:hAnsi="Times New Roman"/>
          <w:b/>
          <w:bCs/>
          <w:color w:val="000000" w:themeColor="text1"/>
          <w:sz w:val="24"/>
          <w:szCs w:val="24"/>
        </w:rPr>
        <w:t>7</w:t>
      </w:r>
      <w:r w:rsidRPr="00816009">
        <w:rPr>
          <w:rFonts w:ascii="Times New Roman" w:hAnsi="Times New Roman"/>
          <w:b/>
          <w:bCs/>
          <w:color w:val="000000" w:themeColor="text1"/>
          <w:sz w:val="24"/>
          <w:szCs w:val="24"/>
        </w:rPr>
        <w:t xml:space="preserve"> : </w:t>
      </w:r>
      <w:r w:rsidRPr="00816009">
        <w:rPr>
          <w:rFonts w:ascii="Times New Roman" w:hAnsi="Times New Roman"/>
          <w:color w:val="000000" w:themeColor="text1"/>
          <w:sz w:val="24"/>
          <w:szCs w:val="24"/>
        </w:rPr>
        <w:t>Diagramme compositionnel</w:t>
      </w:r>
      <w:r>
        <w:rPr>
          <w:rFonts w:ascii="Times New Roman" w:hAnsi="Times New Roman"/>
          <w:sz w:val="24"/>
          <w:szCs w:val="24"/>
        </w:rPr>
        <w:t xml:space="preserve"> ternaire du système Cu-(In+Ga)-Se.</w:t>
      </w:r>
    </w:p>
    <w:p w:rsidR="005F266E" w:rsidRPr="00452127" w:rsidRDefault="005F266E" w:rsidP="006E08CA">
      <w:pPr>
        <w:pStyle w:val="Default"/>
        <w:spacing w:before="240" w:line="360" w:lineRule="auto"/>
        <w:jc w:val="both"/>
        <w:rPr>
          <w:rFonts w:asciiTheme="majorBidi" w:hAnsiTheme="majorBidi" w:cstheme="majorBidi"/>
        </w:rPr>
      </w:pPr>
      <w:r w:rsidRPr="00452127">
        <w:rPr>
          <w:rFonts w:asciiTheme="majorBidi" w:hAnsiTheme="majorBidi" w:cstheme="majorBidi"/>
          <w:b/>
          <w:bCs/>
        </w:rPr>
        <w:t>II.</w:t>
      </w:r>
      <w:r w:rsidR="009D479F">
        <w:rPr>
          <w:rFonts w:asciiTheme="majorBidi" w:hAnsiTheme="majorBidi" w:cstheme="majorBidi"/>
          <w:b/>
          <w:bCs/>
        </w:rPr>
        <w:t>5</w:t>
      </w:r>
      <w:r w:rsidRPr="00452127">
        <w:rPr>
          <w:rFonts w:asciiTheme="majorBidi" w:hAnsiTheme="majorBidi" w:cstheme="majorBidi"/>
          <w:b/>
          <w:bCs/>
        </w:rPr>
        <w:t xml:space="preserve">. </w:t>
      </w:r>
      <w:r w:rsidR="006E08CA">
        <w:rPr>
          <w:rFonts w:asciiTheme="majorBidi" w:hAnsiTheme="majorBidi" w:cstheme="majorBidi"/>
          <w:b/>
          <w:bCs/>
        </w:rPr>
        <w:t xml:space="preserve">DIAGRAMME DE PHASE </w:t>
      </w:r>
    </w:p>
    <w:p w:rsidR="005F266E" w:rsidRPr="00452127" w:rsidRDefault="0044726B" w:rsidP="0044726B">
      <w:pPr>
        <w:spacing w:before="120" w:after="0" w:line="360" w:lineRule="auto"/>
        <w:ind w:firstLine="567"/>
        <w:jc w:val="both"/>
        <w:rPr>
          <w:rFonts w:asciiTheme="majorBidi" w:eastAsia="Times New Roman" w:hAnsiTheme="majorBidi" w:cstheme="majorBidi"/>
          <w:b/>
          <w:sz w:val="24"/>
          <w:szCs w:val="24"/>
        </w:rPr>
      </w:pPr>
      <w:r>
        <w:rPr>
          <w:rFonts w:asciiTheme="majorBidi" w:hAnsiTheme="majorBidi" w:cstheme="majorBidi"/>
          <w:sz w:val="24"/>
          <w:szCs w:val="24"/>
        </w:rPr>
        <w:t>Les diagrammes de phases du système ternaire (Cu-In-Se) ont été étudiés par nombreux auteurs. Mais l’attention a été orientée vers le diagramme de phase des composés binaires Cu</w:t>
      </w:r>
      <w:r w:rsidRPr="0044726B">
        <w:rPr>
          <w:rFonts w:asciiTheme="majorBidi" w:hAnsiTheme="majorBidi" w:cstheme="majorBidi"/>
          <w:sz w:val="24"/>
          <w:szCs w:val="24"/>
          <w:vertAlign w:val="subscript"/>
        </w:rPr>
        <w:t>2</w:t>
      </w:r>
      <w:r>
        <w:rPr>
          <w:rFonts w:asciiTheme="majorBidi" w:hAnsiTheme="majorBidi" w:cstheme="majorBidi"/>
          <w:sz w:val="24"/>
          <w:szCs w:val="24"/>
        </w:rPr>
        <w:t>Se et In</w:t>
      </w:r>
      <w:r w:rsidRPr="0044726B">
        <w:rPr>
          <w:rFonts w:asciiTheme="majorBidi" w:hAnsiTheme="majorBidi" w:cstheme="majorBidi"/>
          <w:sz w:val="24"/>
          <w:szCs w:val="24"/>
          <w:vertAlign w:val="subscript"/>
        </w:rPr>
        <w:t>2</w:t>
      </w:r>
      <w:r>
        <w:rPr>
          <w:rFonts w:asciiTheme="majorBidi" w:hAnsiTheme="majorBidi" w:cstheme="majorBidi"/>
          <w:sz w:val="24"/>
          <w:szCs w:val="24"/>
        </w:rPr>
        <w:t>Se</w:t>
      </w:r>
      <w:r w:rsidRPr="0044726B">
        <w:rPr>
          <w:rFonts w:asciiTheme="majorBidi" w:hAnsiTheme="majorBidi" w:cstheme="majorBidi"/>
          <w:sz w:val="24"/>
          <w:szCs w:val="24"/>
          <w:vertAlign w:val="subscript"/>
        </w:rPr>
        <w:t>3</w:t>
      </w:r>
      <w:r>
        <w:rPr>
          <w:rFonts w:asciiTheme="majorBidi" w:hAnsiTheme="majorBidi" w:cstheme="majorBidi"/>
          <w:sz w:val="24"/>
          <w:szCs w:val="24"/>
        </w:rPr>
        <w:t xml:space="preserve"> développé par </w:t>
      </w:r>
      <w:r w:rsidRPr="0044726B">
        <w:rPr>
          <w:rFonts w:asciiTheme="majorBidi" w:hAnsiTheme="majorBidi" w:cstheme="majorBidi"/>
          <w:color w:val="000000" w:themeColor="text1"/>
          <w:sz w:val="24"/>
          <w:szCs w:val="24"/>
        </w:rPr>
        <w:t>Stanbery</w:t>
      </w:r>
      <w:r w:rsidRPr="00452127">
        <w:rPr>
          <w:rFonts w:asciiTheme="majorBidi" w:hAnsiTheme="majorBidi" w:cstheme="majorBidi"/>
          <w:sz w:val="24"/>
          <w:szCs w:val="24"/>
        </w:rPr>
        <w:t xml:space="preserve"> </w:t>
      </w:r>
      <w:r w:rsidR="008E7B3C">
        <w:rPr>
          <w:rFonts w:asciiTheme="majorBidi" w:hAnsiTheme="majorBidi" w:cstheme="majorBidi"/>
          <w:sz w:val="24"/>
          <w:szCs w:val="24"/>
        </w:rPr>
        <w:t xml:space="preserve"> [50</w:t>
      </w:r>
      <w:r>
        <w:rPr>
          <w:rFonts w:asciiTheme="majorBidi" w:hAnsiTheme="majorBidi" w:cstheme="majorBidi"/>
          <w:sz w:val="24"/>
          <w:szCs w:val="24"/>
        </w:rPr>
        <w:t>], car il y a un intérêt particulier sur les phases existantes à la température ambiante le long de la ligne d’attache Cu</w:t>
      </w:r>
      <w:r w:rsidRPr="0044726B">
        <w:rPr>
          <w:rFonts w:asciiTheme="majorBidi" w:hAnsiTheme="majorBidi" w:cstheme="majorBidi"/>
          <w:sz w:val="24"/>
          <w:szCs w:val="24"/>
          <w:vertAlign w:val="subscript"/>
        </w:rPr>
        <w:t>2</w:t>
      </w:r>
      <w:r>
        <w:rPr>
          <w:rFonts w:asciiTheme="majorBidi" w:hAnsiTheme="majorBidi" w:cstheme="majorBidi"/>
          <w:sz w:val="24"/>
          <w:szCs w:val="24"/>
        </w:rPr>
        <w:t>Se-In</w:t>
      </w:r>
      <w:r w:rsidRPr="0044726B">
        <w:rPr>
          <w:rFonts w:asciiTheme="majorBidi" w:hAnsiTheme="majorBidi" w:cstheme="majorBidi"/>
          <w:sz w:val="24"/>
          <w:szCs w:val="24"/>
          <w:vertAlign w:val="subscript"/>
        </w:rPr>
        <w:t>2</w:t>
      </w:r>
      <w:r>
        <w:rPr>
          <w:rFonts w:asciiTheme="majorBidi" w:hAnsiTheme="majorBidi" w:cstheme="majorBidi"/>
          <w:sz w:val="24"/>
          <w:szCs w:val="24"/>
        </w:rPr>
        <w:t>Se</w:t>
      </w:r>
      <w:r w:rsidRPr="0044726B">
        <w:rPr>
          <w:rFonts w:asciiTheme="majorBidi" w:hAnsiTheme="majorBidi" w:cstheme="majorBidi"/>
          <w:sz w:val="24"/>
          <w:szCs w:val="24"/>
          <w:vertAlign w:val="subscript"/>
        </w:rPr>
        <w:t>3</w:t>
      </w:r>
      <w:r>
        <w:rPr>
          <w:rFonts w:asciiTheme="majorBidi" w:hAnsiTheme="majorBidi" w:cstheme="majorBidi"/>
          <w:sz w:val="24"/>
          <w:szCs w:val="24"/>
        </w:rPr>
        <w:t>. La</w:t>
      </w:r>
      <w:r w:rsidR="005F266E" w:rsidRPr="00452127">
        <w:rPr>
          <w:rFonts w:asciiTheme="majorBidi" w:hAnsiTheme="majorBidi" w:cstheme="majorBidi"/>
          <w:sz w:val="24"/>
          <w:szCs w:val="24"/>
        </w:rPr>
        <w:t xml:space="preserve"> phase d’équilibre peut être discutée en termes de température et de composition. Le diagramme qui illustre la relation température-composition le long de la ligne pseudo-binaire Cu</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sz w:val="24"/>
          <w:szCs w:val="24"/>
        </w:rPr>
        <w:t>Se-In</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sz w:val="24"/>
          <w:szCs w:val="24"/>
        </w:rPr>
        <w:t>Se</w:t>
      </w:r>
      <w:r w:rsidR="005F266E" w:rsidRPr="00452127">
        <w:rPr>
          <w:rFonts w:asciiTheme="majorBidi" w:hAnsiTheme="majorBidi" w:cstheme="majorBidi"/>
          <w:sz w:val="24"/>
          <w:szCs w:val="24"/>
          <w:vertAlign w:val="subscript"/>
        </w:rPr>
        <w:t>3</w:t>
      </w:r>
      <w:r w:rsidR="005F266E">
        <w:rPr>
          <w:rFonts w:asciiTheme="majorBidi" w:hAnsiTheme="majorBidi" w:cstheme="majorBidi"/>
          <w:position w:val="-10"/>
          <w:sz w:val="24"/>
          <w:szCs w:val="24"/>
          <w:vertAlign w:val="subscript"/>
        </w:rPr>
        <w:t xml:space="preserve"> </w:t>
      </w:r>
      <w:r w:rsidR="005F266E" w:rsidRPr="00452127">
        <w:rPr>
          <w:rFonts w:asciiTheme="majorBidi" w:hAnsiTheme="majorBidi" w:cstheme="majorBidi"/>
          <w:sz w:val="24"/>
          <w:szCs w:val="24"/>
        </w:rPr>
        <w:t xml:space="preserve">est représenté par la figure </w:t>
      </w:r>
      <w:r w:rsidR="005913EC" w:rsidRPr="00D70296">
        <w:rPr>
          <w:rFonts w:asciiTheme="majorBidi" w:hAnsiTheme="majorBidi" w:cstheme="majorBidi"/>
          <w:b/>
          <w:bCs/>
          <w:sz w:val="24"/>
          <w:szCs w:val="24"/>
        </w:rPr>
        <w:t>II</w:t>
      </w:r>
      <w:r w:rsidR="005913EC" w:rsidRPr="005913EC">
        <w:rPr>
          <w:rFonts w:asciiTheme="majorBidi" w:hAnsiTheme="majorBidi" w:cstheme="majorBidi"/>
          <w:b/>
          <w:sz w:val="24"/>
          <w:szCs w:val="24"/>
        </w:rPr>
        <w:t>.</w:t>
      </w:r>
      <w:r w:rsidR="00D40741" w:rsidRPr="005913EC">
        <w:rPr>
          <w:rFonts w:asciiTheme="majorBidi" w:hAnsiTheme="majorBidi" w:cstheme="majorBidi"/>
          <w:b/>
          <w:sz w:val="24"/>
          <w:szCs w:val="24"/>
        </w:rPr>
        <w:t>8</w:t>
      </w:r>
      <w:r w:rsidR="005F266E" w:rsidRPr="00452127">
        <w:rPr>
          <w:rFonts w:asciiTheme="majorBidi" w:hAnsiTheme="majorBidi" w:cstheme="majorBidi"/>
          <w:sz w:val="24"/>
          <w:szCs w:val="24"/>
        </w:rPr>
        <w:t xml:space="preserve"> [</w:t>
      </w:r>
      <w:r w:rsidR="008E7B3C">
        <w:rPr>
          <w:rFonts w:asciiTheme="majorBidi" w:hAnsiTheme="majorBidi" w:cstheme="majorBidi"/>
          <w:sz w:val="24"/>
          <w:szCs w:val="24"/>
        </w:rPr>
        <w:t>50</w:t>
      </w:r>
      <w:r w:rsidR="005F266E" w:rsidRPr="00452127">
        <w:rPr>
          <w:rFonts w:asciiTheme="majorBidi" w:hAnsiTheme="majorBidi" w:cstheme="majorBidi"/>
          <w:sz w:val="24"/>
          <w:szCs w:val="24"/>
        </w:rPr>
        <w:t>]. Lorsque la température induit des changements de compositions, cela mène à un désordre de l'arrangement des cations, les variations de la composition causant la formation de phases secondaires. La phase chalcopyrite du matériau CuInSe</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position w:val="-10"/>
          <w:sz w:val="24"/>
          <w:szCs w:val="24"/>
          <w:vertAlign w:val="subscript"/>
        </w:rPr>
        <w:t xml:space="preserve"> </w:t>
      </w:r>
      <w:r w:rsidR="005F266E" w:rsidRPr="00452127">
        <w:rPr>
          <w:rFonts w:asciiTheme="majorBidi" w:hAnsiTheme="majorBidi" w:cstheme="majorBidi"/>
          <w:sz w:val="24"/>
          <w:szCs w:val="24"/>
        </w:rPr>
        <w:t>(α-CuInSe</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sz w:val="24"/>
          <w:szCs w:val="24"/>
        </w:rPr>
        <w:t>) existe pour des concentrations atomiques de Cu comprises entre (24 et 24,5) % à la température ambiante (et aux températures situées au dessus de 780 °C). Ainsi, le composé stoechiométrique CuInSe</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position w:val="-10"/>
          <w:sz w:val="24"/>
          <w:szCs w:val="24"/>
          <w:vertAlign w:val="subscript"/>
        </w:rPr>
        <w:t xml:space="preserve"> </w:t>
      </w:r>
      <w:r w:rsidR="005F266E" w:rsidRPr="00452127">
        <w:rPr>
          <w:rFonts w:asciiTheme="majorBidi" w:hAnsiTheme="majorBidi" w:cstheme="majorBidi"/>
          <w:sz w:val="24"/>
          <w:szCs w:val="24"/>
        </w:rPr>
        <w:t>à l’équilibre est une mixture d’une forte déficience en Cuivre des deux phases α-CIS et Cu</w:t>
      </w:r>
      <w:r w:rsidR="005F266E" w:rsidRPr="00452127">
        <w:rPr>
          <w:rFonts w:asciiTheme="majorBidi" w:hAnsiTheme="majorBidi" w:cstheme="majorBidi"/>
          <w:sz w:val="24"/>
          <w:szCs w:val="24"/>
          <w:vertAlign w:val="subscript"/>
        </w:rPr>
        <w:t>2</w:t>
      </w:r>
      <w:r w:rsidR="005F266E" w:rsidRPr="00452127">
        <w:rPr>
          <w:rFonts w:asciiTheme="majorBidi" w:hAnsiTheme="majorBidi" w:cstheme="majorBidi"/>
          <w:sz w:val="24"/>
          <w:szCs w:val="24"/>
        </w:rPr>
        <w:t>Se. Le CIS riche en Cuivre est toujours une mixture de ces deux phases. Par contre, dans le cas du CIS déficient en cuivre, d’autres phases existent et suivant l’estimation de Stanbery [</w:t>
      </w:r>
      <w:r w:rsidR="008E7B3C">
        <w:rPr>
          <w:rFonts w:asciiTheme="majorBidi" w:hAnsiTheme="majorBidi" w:cstheme="majorBidi"/>
          <w:sz w:val="24"/>
          <w:szCs w:val="24"/>
        </w:rPr>
        <w:t>50</w:t>
      </w:r>
      <w:r w:rsidR="005F266E" w:rsidRPr="00452127">
        <w:rPr>
          <w:rFonts w:asciiTheme="majorBidi" w:hAnsiTheme="majorBidi" w:cstheme="majorBidi"/>
          <w:sz w:val="24"/>
          <w:szCs w:val="24"/>
        </w:rPr>
        <w:t>], on retrouve les phases : β-</w:t>
      </w:r>
      <w:r>
        <w:rPr>
          <w:rFonts w:asciiTheme="majorBidi" w:hAnsiTheme="majorBidi" w:cstheme="majorBidi"/>
          <w:sz w:val="24"/>
          <w:szCs w:val="24"/>
        </w:rPr>
        <w:t>CIS (CuIn</w:t>
      </w:r>
      <w:r w:rsidRPr="0044726B">
        <w:rPr>
          <w:rFonts w:asciiTheme="majorBidi" w:hAnsiTheme="majorBidi" w:cstheme="majorBidi"/>
          <w:sz w:val="24"/>
          <w:szCs w:val="24"/>
          <w:vertAlign w:val="subscript"/>
        </w:rPr>
        <w:t>2</w:t>
      </w:r>
      <w:r>
        <w:rPr>
          <w:rFonts w:asciiTheme="majorBidi" w:hAnsiTheme="majorBidi" w:cstheme="majorBidi"/>
          <w:sz w:val="24"/>
          <w:szCs w:val="24"/>
        </w:rPr>
        <w:t>Se</w:t>
      </w:r>
      <w:r w:rsidRPr="0044726B">
        <w:rPr>
          <w:rFonts w:asciiTheme="majorBidi" w:hAnsiTheme="majorBidi" w:cstheme="majorBidi"/>
          <w:sz w:val="24"/>
          <w:szCs w:val="24"/>
          <w:vertAlign w:val="subscript"/>
        </w:rPr>
        <w:t>3,5</w:t>
      </w:r>
      <w:r>
        <w:rPr>
          <w:rFonts w:asciiTheme="majorBidi" w:hAnsiTheme="majorBidi" w:cstheme="majorBidi"/>
          <w:sz w:val="24"/>
          <w:szCs w:val="24"/>
        </w:rPr>
        <w:t xml:space="preserve"> et CuIn</w:t>
      </w:r>
      <w:r w:rsidRPr="0044726B">
        <w:rPr>
          <w:rFonts w:asciiTheme="majorBidi" w:hAnsiTheme="majorBidi" w:cstheme="majorBidi"/>
          <w:sz w:val="24"/>
          <w:szCs w:val="24"/>
          <w:vertAlign w:val="subscript"/>
        </w:rPr>
        <w:t>3</w:t>
      </w:r>
      <w:r>
        <w:rPr>
          <w:rFonts w:asciiTheme="majorBidi" w:hAnsiTheme="majorBidi" w:cstheme="majorBidi"/>
          <w:sz w:val="24"/>
          <w:szCs w:val="24"/>
        </w:rPr>
        <w:t>Se</w:t>
      </w:r>
      <w:r w:rsidRPr="0044726B">
        <w:rPr>
          <w:rFonts w:asciiTheme="majorBidi" w:hAnsiTheme="majorBidi" w:cstheme="majorBidi"/>
          <w:sz w:val="24"/>
          <w:szCs w:val="24"/>
          <w:vertAlign w:val="subscript"/>
        </w:rPr>
        <w:t>5</w:t>
      </w:r>
      <w:r w:rsidR="005F266E" w:rsidRPr="00452127">
        <w:rPr>
          <w:rFonts w:asciiTheme="majorBidi" w:hAnsiTheme="majorBidi" w:cstheme="majorBidi"/>
          <w:sz w:val="24"/>
          <w:szCs w:val="24"/>
        </w:rPr>
        <w:t xml:space="preserve">) </w:t>
      </w:r>
      <w:r w:rsidR="00494758">
        <w:rPr>
          <w:rFonts w:asciiTheme="majorBidi" w:hAnsiTheme="majorBidi" w:cstheme="majorBidi"/>
          <w:sz w:val="24"/>
          <w:szCs w:val="24"/>
        </w:rPr>
        <w:t>γ-CIS (CuIn</w:t>
      </w:r>
      <w:r w:rsidR="00494758" w:rsidRPr="00494758">
        <w:rPr>
          <w:rFonts w:asciiTheme="majorBidi" w:hAnsiTheme="majorBidi" w:cstheme="majorBidi"/>
          <w:sz w:val="24"/>
          <w:szCs w:val="24"/>
          <w:vertAlign w:val="subscript"/>
        </w:rPr>
        <w:t>5</w:t>
      </w:r>
      <w:r w:rsidR="00494758">
        <w:rPr>
          <w:rFonts w:asciiTheme="majorBidi" w:hAnsiTheme="majorBidi" w:cstheme="majorBidi"/>
          <w:sz w:val="24"/>
          <w:szCs w:val="24"/>
        </w:rPr>
        <w:t>Se</w:t>
      </w:r>
      <w:r w:rsidR="00494758" w:rsidRPr="00494758">
        <w:rPr>
          <w:rFonts w:asciiTheme="majorBidi" w:hAnsiTheme="majorBidi" w:cstheme="majorBidi"/>
          <w:sz w:val="24"/>
          <w:szCs w:val="24"/>
          <w:vertAlign w:val="subscript"/>
        </w:rPr>
        <w:t>8</w:t>
      </w:r>
      <w:r w:rsidR="00494758">
        <w:rPr>
          <w:rFonts w:asciiTheme="majorBidi" w:hAnsiTheme="majorBidi" w:cstheme="majorBidi"/>
          <w:sz w:val="24"/>
          <w:szCs w:val="24"/>
        </w:rPr>
        <w:t xml:space="preserve">) </w:t>
      </w:r>
      <w:r w:rsidR="005F266E" w:rsidRPr="00452127">
        <w:rPr>
          <w:rFonts w:asciiTheme="majorBidi" w:hAnsiTheme="majorBidi" w:cstheme="majorBidi"/>
          <w:sz w:val="24"/>
          <w:szCs w:val="24"/>
        </w:rPr>
        <w:t>et enfin In</w:t>
      </w:r>
      <w:r w:rsidR="00494758" w:rsidRPr="00494758">
        <w:rPr>
          <w:rFonts w:asciiTheme="majorBidi" w:hAnsiTheme="majorBidi" w:cstheme="majorBidi"/>
          <w:sz w:val="24"/>
          <w:szCs w:val="24"/>
          <w:vertAlign w:val="subscript"/>
        </w:rPr>
        <w:t>2</w:t>
      </w:r>
      <w:r w:rsidR="005F266E" w:rsidRPr="00452127">
        <w:rPr>
          <w:rFonts w:asciiTheme="majorBidi" w:hAnsiTheme="majorBidi" w:cstheme="majorBidi"/>
          <w:sz w:val="24"/>
          <w:szCs w:val="24"/>
        </w:rPr>
        <w:t>Se</w:t>
      </w:r>
      <w:r w:rsidR="00494758" w:rsidRPr="00494758">
        <w:rPr>
          <w:rFonts w:asciiTheme="majorBidi" w:hAnsiTheme="majorBidi" w:cstheme="majorBidi"/>
          <w:sz w:val="24"/>
          <w:szCs w:val="24"/>
          <w:vertAlign w:val="subscript"/>
        </w:rPr>
        <w:t>3</w:t>
      </w:r>
      <w:r w:rsidR="005F266E" w:rsidRPr="00452127">
        <w:rPr>
          <w:rFonts w:asciiTheme="majorBidi" w:hAnsiTheme="majorBidi" w:cstheme="majorBidi"/>
          <w:sz w:val="24"/>
          <w:szCs w:val="24"/>
        </w:rPr>
        <w:t xml:space="preserve">. La phase β-CIS est appelé aussi quelques fois </w:t>
      </w:r>
      <w:r w:rsidR="005F266E">
        <w:rPr>
          <w:rFonts w:asciiTheme="majorBidi" w:hAnsiTheme="majorBidi" w:cstheme="majorBidi"/>
          <w:sz w:val="24"/>
          <w:szCs w:val="24"/>
        </w:rPr>
        <w:t>‘</w:t>
      </w:r>
      <w:r w:rsidR="005F266E" w:rsidRPr="00452127">
        <w:rPr>
          <w:rFonts w:asciiTheme="majorBidi" w:hAnsiTheme="majorBidi" w:cstheme="majorBidi"/>
          <w:sz w:val="24"/>
          <w:szCs w:val="24"/>
        </w:rPr>
        <w:t>Ordered Vacancy Compound</w:t>
      </w:r>
      <w:r w:rsidR="005F266E">
        <w:rPr>
          <w:rFonts w:asciiTheme="majorBidi" w:hAnsiTheme="majorBidi" w:cstheme="majorBidi"/>
          <w:sz w:val="24"/>
          <w:szCs w:val="24"/>
        </w:rPr>
        <w:t xml:space="preserve">’ </w:t>
      </w:r>
      <w:r w:rsidR="005F266E" w:rsidRPr="00452127">
        <w:rPr>
          <w:rFonts w:asciiTheme="majorBidi" w:hAnsiTheme="majorBidi" w:cstheme="majorBidi"/>
          <w:sz w:val="24"/>
          <w:szCs w:val="24"/>
        </w:rPr>
        <w:t xml:space="preserve">(OVC) ou </w:t>
      </w:r>
      <w:r w:rsidR="005F266E">
        <w:rPr>
          <w:rFonts w:asciiTheme="majorBidi" w:hAnsiTheme="majorBidi" w:cstheme="majorBidi"/>
          <w:sz w:val="24"/>
          <w:szCs w:val="24"/>
        </w:rPr>
        <w:t>‘O</w:t>
      </w:r>
      <w:r w:rsidR="005F266E" w:rsidRPr="00452127">
        <w:rPr>
          <w:rFonts w:asciiTheme="majorBidi" w:hAnsiTheme="majorBidi" w:cstheme="majorBidi"/>
          <w:sz w:val="24"/>
          <w:szCs w:val="24"/>
        </w:rPr>
        <w:t>rdered Defect compound</w:t>
      </w:r>
      <w:r w:rsidR="005F266E">
        <w:rPr>
          <w:rFonts w:asciiTheme="majorBidi" w:hAnsiTheme="majorBidi" w:cstheme="majorBidi"/>
          <w:sz w:val="24"/>
          <w:szCs w:val="24"/>
        </w:rPr>
        <w:t xml:space="preserve">’ </w:t>
      </w:r>
      <w:r w:rsidR="005F266E" w:rsidRPr="00452127">
        <w:rPr>
          <w:rFonts w:asciiTheme="majorBidi" w:hAnsiTheme="majorBidi" w:cstheme="majorBidi"/>
          <w:sz w:val="24"/>
          <w:szCs w:val="24"/>
        </w:rPr>
        <w:t xml:space="preserve">(ODC). </w:t>
      </w:r>
    </w:p>
    <w:p w:rsidR="005F266E" w:rsidRPr="00452127" w:rsidRDefault="005F266E" w:rsidP="005F266E">
      <w:pPr>
        <w:spacing w:before="360" w:after="240" w:line="360" w:lineRule="auto"/>
        <w:jc w:val="both"/>
        <w:rPr>
          <w:rFonts w:asciiTheme="majorBidi" w:eastAsia="Times New Roman" w:hAnsiTheme="majorBidi" w:cstheme="majorBidi"/>
          <w:b/>
          <w:sz w:val="24"/>
          <w:szCs w:val="24"/>
        </w:rPr>
      </w:pPr>
    </w:p>
    <w:p w:rsidR="005F266E" w:rsidRDefault="00D40741" w:rsidP="00541F0F">
      <w:pPr>
        <w:spacing w:before="120" w:after="0" w:line="360" w:lineRule="auto"/>
        <w:jc w:val="both"/>
        <w:rPr>
          <w:rFonts w:ascii="Times New Roman" w:eastAsia="Times New Roman" w:hAnsi="Times New Roman"/>
          <w:b/>
          <w:sz w:val="24"/>
          <w:szCs w:val="24"/>
        </w:rPr>
      </w:pPr>
      <w:r>
        <w:rPr>
          <w:rFonts w:ascii="Times New Roman" w:eastAsia="Times New Roman" w:hAnsi="Times New Roman"/>
          <w:b/>
          <w:noProof/>
          <w:sz w:val="24"/>
          <w:szCs w:val="24"/>
          <w:lang w:eastAsia="fr-FR"/>
        </w:rPr>
        <w:drawing>
          <wp:inline distT="0" distB="0" distL="0" distR="0">
            <wp:extent cx="5760720" cy="4996626"/>
            <wp:effectExtent l="19050" t="0" r="0" b="0"/>
            <wp:docPr id="3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srcRect/>
                    <a:stretch>
                      <a:fillRect/>
                    </a:stretch>
                  </pic:blipFill>
                  <pic:spPr bwMode="auto">
                    <a:xfrm>
                      <a:off x="0" y="0"/>
                      <a:ext cx="5760720" cy="4996626"/>
                    </a:xfrm>
                    <a:prstGeom prst="rect">
                      <a:avLst/>
                    </a:prstGeom>
                    <a:noFill/>
                    <a:ln w="9525">
                      <a:noFill/>
                      <a:miter lim="800000"/>
                      <a:headEnd/>
                      <a:tailEnd/>
                    </a:ln>
                  </pic:spPr>
                </pic:pic>
              </a:graphicData>
            </a:graphic>
          </wp:inline>
        </w:drawing>
      </w:r>
    </w:p>
    <w:p w:rsidR="005F266E" w:rsidRPr="00A42E7C" w:rsidRDefault="005F266E" w:rsidP="00541F0F">
      <w:pPr>
        <w:pStyle w:val="Default"/>
        <w:spacing w:before="120" w:line="360" w:lineRule="auto"/>
        <w:ind w:firstLine="700"/>
        <w:jc w:val="center"/>
        <w:rPr>
          <w:rFonts w:asciiTheme="majorBidi" w:hAnsiTheme="majorBidi" w:cstheme="majorBidi"/>
        </w:rPr>
      </w:pPr>
      <w:r w:rsidRPr="00A42E7C">
        <w:rPr>
          <w:rFonts w:asciiTheme="majorBidi" w:hAnsiTheme="majorBidi" w:cstheme="majorBidi"/>
          <w:b/>
          <w:bCs/>
        </w:rPr>
        <w:t xml:space="preserve">Figure </w:t>
      </w:r>
      <w:r w:rsidR="005913EC" w:rsidRPr="00D70296">
        <w:rPr>
          <w:rFonts w:asciiTheme="majorBidi" w:hAnsiTheme="majorBidi" w:cstheme="majorBidi"/>
          <w:b/>
          <w:bCs/>
        </w:rPr>
        <w:t>II</w:t>
      </w:r>
      <w:r w:rsidR="005913EC">
        <w:rPr>
          <w:rFonts w:asciiTheme="majorBidi" w:hAnsiTheme="majorBidi" w:cstheme="majorBidi"/>
          <w:b/>
          <w:bCs/>
        </w:rPr>
        <w:t>.</w:t>
      </w:r>
      <w:r w:rsidR="00D40741">
        <w:rPr>
          <w:rFonts w:asciiTheme="majorBidi" w:hAnsiTheme="majorBidi" w:cstheme="majorBidi"/>
          <w:b/>
          <w:bCs/>
        </w:rPr>
        <w:t>8</w:t>
      </w:r>
      <w:r w:rsidRPr="00A42E7C">
        <w:rPr>
          <w:rFonts w:asciiTheme="majorBidi" w:hAnsiTheme="majorBidi" w:cstheme="majorBidi"/>
          <w:b/>
          <w:bCs/>
        </w:rPr>
        <w:t xml:space="preserve"> : </w:t>
      </w:r>
      <w:r w:rsidRPr="00A42E7C">
        <w:rPr>
          <w:rFonts w:asciiTheme="majorBidi" w:hAnsiTheme="majorBidi" w:cstheme="majorBidi"/>
        </w:rPr>
        <w:t>Diagramme de phase pseudo-binaire Cu</w:t>
      </w:r>
      <w:r w:rsidR="00D40741" w:rsidRPr="00D40741">
        <w:rPr>
          <w:rFonts w:asciiTheme="majorBidi" w:hAnsiTheme="majorBidi" w:cstheme="majorBidi"/>
          <w:vertAlign w:val="subscript"/>
        </w:rPr>
        <w:t>2</w:t>
      </w:r>
      <w:r w:rsidRPr="00A42E7C">
        <w:rPr>
          <w:rFonts w:asciiTheme="majorBidi" w:hAnsiTheme="majorBidi" w:cstheme="majorBidi"/>
        </w:rPr>
        <w:t>Se-In</w:t>
      </w:r>
      <w:r w:rsidR="00D40741" w:rsidRPr="00D40741">
        <w:rPr>
          <w:rFonts w:asciiTheme="majorBidi" w:hAnsiTheme="majorBidi" w:cstheme="majorBidi"/>
          <w:vertAlign w:val="subscript"/>
        </w:rPr>
        <w:t>2</w:t>
      </w:r>
      <w:r w:rsidRPr="00A42E7C">
        <w:rPr>
          <w:rFonts w:asciiTheme="majorBidi" w:hAnsiTheme="majorBidi" w:cstheme="majorBidi"/>
        </w:rPr>
        <w:t>Se</w:t>
      </w:r>
      <w:r w:rsidR="00D40741" w:rsidRPr="00D40741">
        <w:rPr>
          <w:rFonts w:asciiTheme="majorBidi" w:hAnsiTheme="majorBidi" w:cstheme="majorBidi"/>
          <w:vertAlign w:val="subscript"/>
        </w:rPr>
        <w:t>3</w:t>
      </w:r>
    </w:p>
    <w:p w:rsidR="005F266E" w:rsidRPr="00A42E7C" w:rsidRDefault="00664F95" w:rsidP="00FA5943">
      <w:pPr>
        <w:spacing w:after="0" w:line="360" w:lineRule="auto"/>
        <w:jc w:val="center"/>
        <w:rPr>
          <w:rFonts w:asciiTheme="majorBidi" w:eastAsia="Times New Roman" w:hAnsiTheme="majorBidi" w:cstheme="majorBidi"/>
          <w:b/>
          <w:sz w:val="24"/>
          <w:szCs w:val="24"/>
        </w:rPr>
      </w:pPr>
      <w:r>
        <w:rPr>
          <w:rFonts w:asciiTheme="majorBidi" w:hAnsiTheme="majorBidi" w:cstheme="majorBidi"/>
          <w:sz w:val="24"/>
          <w:szCs w:val="24"/>
        </w:rPr>
        <w:t>d</w:t>
      </w:r>
      <w:r w:rsidRPr="00A42E7C">
        <w:rPr>
          <w:rFonts w:asciiTheme="majorBidi" w:hAnsiTheme="majorBidi" w:cstheme="majorBidi"/>
          <w:sz w:val="24"/>
          <w:szCs w:val="24"/>
        </w:rPr>
        <w:t>u</w:t>
      </w:r>
      <w:r w:rsidR="005F266E" w:rsidRPr="00A42E7C">
        <w:rPr>
          <w:rFonts w:asciiTheme="majorBidi" w:hAnsiTheme="majorBidi" w:cstheme="majorBidi"/>
          <w:sz w:val="24"/>
          <w:szCs w:val="24"/>
        </w:rPr>
        <w:t xml:space="preserve"> </w:t>
      </w:r>
      <w:r w:rsidR="00D40741" w:rsidRPr="00A42E7C">
        <w:rPr>
          <w:rFonts w:asciiTheme="majorBidi" w:hAnsiTheme="majorBidi" w:cstheme="majorBidi"/>
          <w:sz w:val="24"/>
          <w:szCs w:val="24"/>
        </w:rPr>
        <w:t>système</w:t>
      </w:r>
      <w:r w:rsidR="005F266E" w:rsidRPr="00A42E7C">
        <w:rPr>
          <w:rFonts w:asciiTheme="majorBidi" w:hAnsiTheme="majorBidi" w:cstheme="majorBidi"/>
          <w:sz w:val="24"/>
          <w:szCs w:val="24"/>
        </w:rPr>
        <w:t xml:space="preserve"> Cu-In-Se</w:t>
      </w:r>
      <w:r w:rsidR="00FA5943">
        <w:rPr>
          <w:rFonts w:asciiTheme="majorBidi" w:hAnsiTheme="majorBidi" w:cstheme="majorBidi"/>
          <w:sz w:val="24"/>
          <w:szCs w:val="24"/>
        </w:rPr>
        <w:t>.</w:t>
      </w:r>
      <w:r w:rsidR="005F266E">
        <w:rPr>
          <w:rFonts w:asciiTheme="majorBidi" w:hAnsiTheme="majorBidi" w:cstheme="majorBidi"/>
          <w:sz w:val="24"/>
          <w:szCs w:val="24"/>
        </w:rPr>
        <w:t xml:space="preserve"> </w:t>
      </w:r>
    </w:p>
    <w:p w:rsidR="00111D80" w:rsidRDefault="00111D80" w:rsidP="00541F0F">
      <w:pPr>
        <w:spacing w:before="240" w:after="0" w:line="360" w:lineRule="auto"/>
        <w:jc w:val="both"/>
        <w:rPr>
          <w:rFonts w:ascii="Times New Roman" w:hAnsi="Times New Roman"/>
          <w:b/>
          <w:bCs/>
          <w:sz w:val="24"/>
          <w:szCs w:val="24"/>
        </w:rPr>
      </w:pPr>
      <w:r>
        <w:rPr>
          <w:rFonts w:ascii="Times New Roman" w:hAnsi="Times New Roman"/>
          <w:b/>
          <w:bCs/>
          <w:sz w:val="24"/>
          <w:szCs w:val="24"/>
        </w:rPr>
        <w:t>II.</w:t>
      </w:r>
      <w:r w:rsidR="009D479F">
        <w:rPr>
          <w:rFonts w:ascii="Times New Roman" w:hAnsi="Times New Roman"/>
          <w:b/>
          <w:bCs/>
          <w:sz w:val="24"/>
          <w:szCs w:val="24"/>
        </w:rPr>
        <w:t>6.</w:t>
      </w:r>
      <w:r>
        <w:rPr>
          <w:rFonts w:ascii="Times New Roman" w:hAnsi="Times New Roman"/>
          <w:b/>
          <w:bCs/>
          <w:sz w:val="24"/>
          <w:szCs w:val="24"/>
        </w:rPr>
        <w:t xml:space="preserve"> </w:t>
      </w:r>
      <w:r w:rsidR="00FC4FEF">
        <w:rPr>
          <w:rFonts w:ascii="Times New Roman" w:eastAsia="Times New Roman" w:hAnsi="Times New Roman"/>
          <w:b/>
          <w:sz w:val="24"/>
          <w:szCs w:val="24"/>
        </w:rPr>
        <w:t>PROPRI</w:t>
      </w:r>
      <w:r w:rsidR="00FC4FEF">
        <w:rPr>
          <w:rFonts w:ascii="Times New Roman" w:eastAsia="Times New Roman" w:hAnsi="Times New Roman" w:cs="Times New Roman"/>
          <w:b/>
          <w:sz w:val="24"/>
          <w:szCs w:val="24"/>
        </w:rPr>
        <w:t>É</w:t>
      </w:r>
      <w:r w:rsidR="00FC4FEF">
        <w:rPr>
          <w:rFonts w:ascii="Times New Roman" w:eastAsia="Times New Roman" w:hAnsi="Times New Roman"/>
          <w:b/>
          <w:sz w:val="24"/>
          <w:szCs w:val="24"/>
        </w:rPr>
        <w:t>T</w:t>
      </w:r>
      <w:r w:rsidR="00FC4FEF">
        <w:rPr>
          <w:rFonts w:ascii="Times New Roman" w:eastAsia="Times New Roman" w:hAnsi="Times New Roman" w:cs="Times New Roman"/>
          <w:b/>
          <w:sz w:val="24"/>
          <w:szCs w:val="24"/>
        </w:rPr>
        <w:t>É</w:t>
      </w:r>
      <w:r w:rsidR="00FC4FEF">
        <w:rPr>
          <w:rFonts w:ascii="Times New Roman" w:eastAsia="Times New Roman" w:hAnsi="Times New Roman"/>
          <w:b/>
          <w:sz w:val="24"/>
          <w:szCs w:val="24"/>
        </w:rPr>
        <w:t>S OPTIQUES</w:t>
      </w:r>
      <w:r>
        <w:rPr>
          <w:rFonts w:ascii="Times New Roman" w:hAnsi="Times New Roman"/>
          <w:b/>
          <w:bCs/>
          <w:sz w:val="24"/>
          <w:szCs w:val="24"/>
        </w:rPr>
        <w:t xml:space="preserve"> </w:t>
      </w:r>
    </w:p>
    <w:p w:rsidR="00DC38C6" w:rsidRPr="00816009" w:rsidRDefault="00DC38C6" w:rsidP="00FA5943">
      <w:pPr>
        <w:spacing w:before="120"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Une absorption maximale de la lumière sur tout le spectre solaire est l’une des propriétés les plus importantes que doit posséder un absorbeur. Avec un coefficient d’absorption optique α compris entre 10</w:t>
      </w:r>
      <w:r>
        <w:rPr>
          <w:rFonts w:ascii="Times New Roman" w:hAnsi="Times New Roman"/>
          <w:sz w:val="24"/>
          <w:szCs w:val="24"/>
          <w:vertAlign w:val="superscript"/>
        </w:rPr>
        <w:t>4</w:t>
      </w:r>
      <w:r>
        <w:rPr>
          <w:rFonts w:ascii="Times New Roman" w:hAnsi="Times New Roman"/>
          <w:sz w:val="24"/>
          <w:szCs w:val="24"/>
        </w:rPr>
        <w:t xml:space="preserve"> et 10</w:t>
      </w:r>
      <w:r>
        <w:rPr>
          <w:rFonts w:ascii="Times New Roman" w:hAnsi="Times New Roman"/>
          <w:sz w:val="24"/>
          <w:szCs w:val="24"/>
          <w:vertAlign w:val="superscript"/>
        </w:rPr>
        <w:t>5</w:t>
      </w:r>
      <w:r>
        <w:rPr>
          <w:rFonts w:ascii="Times New Roman" w:hAnsi="Times New Roman"/>
          <w:sz w:val="24"/>
          <w:szCs w:val="24"/>
        </w:rPr>
        <w:t xml:space="preserve"> cm</w:t>
      </w:r>
      <w:r>
        <w:rPr>
          <w:rFonts w:ascii="Times New Roman" w:hAnsi="Times New Roman"/>
          <w:sz w:val="24"/>
          <w:szCs w:val="24"/>
          <w:vertAlign w:val="superscript"/>
        </w:rPr>
        <w:t>-1</w:t>
      </w:r>
      <w:r>
        <w:rPr>
          <w:rFonts w:ascii="Times New Roman" w:hAnsi="Times New Roman"/>
          <w:sz w:val="24"/>
          <w:szCs w:val="24"/>
        </w:rPr>
        <w:t>, les chalcopyrites CuInSe</w:t>
      </w:r>
      <w:r>
        <w:rPr>
          <w:rFonts w:ascii="Times New Roman" w:hAnsi="Times New Roman"/>
          <w:sz w:val="24"/>
          <w:szCs w:val="24"/>
          <w:vertAlign w:val="subscript"/>
        </w:rPr>
        <w:t>2</w:t>
      </w:r>
      <w:r>
        <w:rPr>
          <w:rFonts w:ascii="Times New Roman" w:hAnsi="Times New Roman"/>
          <w:sz w:val="24"/>
          <w:szCs w:val="24"/>
        </w:rPr>
        <w:t>, CuGaSe</w:t>
      </w:r>
      <w:r>
        <w:rPr>
          <w:rFonts w:ascii="Times New Roman" w:hAnsi="Times New Roman"/>
          <w:sz w:val="24"/>
          <w:szCs w:val="24"/>
          <w:vertAlign w:val="subscript"/>
        </w:rPr>
        <w:t>2</w:t>
      </w:r>
      <w:r>
        <w:rPr>
          <w:rFonts w:ascii="Times New Roman" w:hAnsi="Times New Roman"/>
          <w:sz w:val="24"/>
          <w:szCs w:val="24"/>
        </w:rPr>
        <w:t xml:space="preserve"> et leurs alliages en couches minces peuvent être utilisés comme de bons absorbeurs pour réaliser des cellules solaires et par conséquent obtenir des rendements élevés avec une épaisseur de 2 à 3 </w:t>
      </w:r>
      <w:r>
        <w:rPr>
          <w:rFonts w:ascii="Times New Roman" w:hAnsi="Times New Roman"/>
          <w:sz w:val="24"/>
          <w:szCs w:val="24"/>
        </w:rPr>
        <w:sym w:font="Symbol" w:char="F06D"/>
      </w:r>
      <w:r>
        <w:rPr>
          <w:rFonts w:ascii="Times New Roman" w:hAnsi="Times New Roman"/>
          <w:sz w:val="24"/>
          <w:szCs w:val="24"/>
        </w:rPr>
        <w:t xml:space="preserve">m. Ce coefficient d’absorption a été calculé à partir de </w:t>
      </w:r>
      <w:r w:rsidRPr="00816009">
        <w:rPr>
          <w:rFonts w:ascii="Times New Roman" w:hAnsi="Times New Roman"/>
          <w:color w:val="000000" w:themeColor="text1"/>
          <w:sz w:val="24"/>
          <w:szCs w:val="24"/>
        </w:rPr>
        <w:t>l’</w:t>
      </w:r>
      <w:r w:rsidR="008E7B3C">
        <w:rPr>
          <w:rFonts w:ascii="Times New Roman" w:hAnsi="Times New Roman"/>
          <w:color w:val="000000" w:themeColor="text1"/>
          <w:sz w:val="24"/>
          <w:szCs w:val="24"/>
        </w:rPr>
        <w:t>équation [51</w:t>
      </w:r>
      <w:r w:rsidRPr="00816009">
        <w:rPr>
          <w:rFonts w:ascii="Times New Roman" w:hAnsi="Times New Roman"/>
          <w:color w:val="000000" w:themeColor="text1"/>
          <w:sz w:val="24"/>
          <w:szCs w:val="24"/>
        </w:rPr>
        <w:t>]:</w:t>
      </w:r>
    </w:p>
    <w:tbl>
      <w:tblPr>
        <w:tblW w:w="0" w:type="auto"/>
        <w:tblBorders>
          <w:insideH w:val="single" w:sz="4" w:space="0" w:color="auto"/>
        </w:tblBorders>
        <w:tblLook w:val="01E0"/>
      </w:tblPr>
      <w:tblGrid>
        <w:gridCol w:w="7970"/>
        <w:gridCol w:w="1210"/>
      </w:tblGrid>
      <w:tr w:rsidR="00DC38C6" w:rsidTr="00664F95">
        <w:trPr>
          <w:trHeight w:val="1290"/>
        </w:trPr>
        <w:tc>
          <w:tcPr>
            <w:tcW w:w="7970" w:type="dxa"/>
            <w:vAlign w:val="center"/>
          </w:tcPr>
          <w:p w:rsidR="00DC38C6" w:rsidRDefault="00DC38C6" w:rsidP="00541F0F">
            <w:pPr>
              <w:spacing w:before="120" w:after="0" w:line="360" w:lineRule="auto"/>
              <w:ind w:firstLine="1134"/>
              <w:rPr>
                <w:rFonts w:ascii="Times New Roman" w:hAnsi="Times New Roman"/>
                <w:sz w:val="24"/>
                <w:szCs w:val="24"/>
              </w:rPr>
            </w:pPr>
            <w:r w:rsidRPr="00C446DF">
              <w:rPr>
                <w:rFonts w:ascii="Times New Roman" w:hAnsi="Times New Roman"/>
                <w:position w:val="-52"/>
                <w:sz w:val="24"/>
                <w:szCs w:val="24"/>
              </w:rPr>
              <w:object w:dxaOrig="3900" w:dyaOrig="1160">
                <v:shape id="_x0000_i1042" type="#_x0000_t75" style="width:195.6pt;height:58.4pt" o:ole="">
                  <v:imagedata r:id="rId47" o:title=""/>
                </v:shape>
                <o:OLEObject Type="Embed" ProgID="Equation.3" ShapeID="_x0000_i1042" DrawAspect="Content" ObjectID="_1305984798" r:id="rId48"/>
              </w:object>
            </w:r>
          </w:p>
        </w:tc>
        <w:tc>
          <w:tcPr>
            <w:tcW w:w="1210" w:type="dxa"/>
            <w:vAlign w:val="center"/>
          </w:tcPr>
          <w:p w:rsidR="00DC38C6" w:rsidRDefault="00DC38C6" w:rsidP="005F266E">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II</w:t>
            </w:r>
            <w:r w:rsidR="004D419A">
              <w:rPr>
                <w:rFonts w:ascii="Times New Roman" w:hAnsi="Times New Roman"/>
                <w:sz w:val="24"/>
                <w:szCs w:val="24"/>
              </w:rPr>
              <w:t>.</w:t>
            </w:r>
            <w:r>
              <w:rPr>
                <w:rFonts w:ascii="Times New Roman" w:hAnsi="Times New Roman"/>
                <w:sz w:val="24"/>
                <w:szCs w:val="24"/>
              </w:rPr>
              <w:t>8)</w:t>
            </w:r>
          </w:p>
        </w:tc>
      </w:tr>
    </w:tbl>
    <w:p w:rsidR="00DC38C6" w:rsidRDefault="002F3B84" w:rsidP="00541F0F">
      <w:pPr>
        <w:spacing w:before="120" w:after="0" w:line="360" w:lineRule="auto"/>
        <w:ind w:firstLine="567"/>
        <w:rPr>
          <w:rFonts w:ascii="Times New Roman" w:hAnsi="Times New Roman"/>
          <w:sz w:val="24"/>
          <w:szCs w:val="24"/>
        </w:rPr>
      </w:pPr>
      <w:r>
        <w:rPr>
          <w:rFonts w:ascii="Times New Roman" w:hAnsi="Times New Roman"/>
          <w:sz w:val="24"/>
          <w:szCs w:val="24"/>
        </w:rPr>
        <w:t>Où</w:t>
      </w:r>
      <w:r w:rsidR="00DC38C6">
        <w:rPr>
          <w:rFonts w:ascii="Times New Roman" w:hAnsi="Times New Roman"/>
          <w:sz w:val="24"/>
          <w:szCs w:val="24"/>
        </w:rPr>
        <w:t xml:space="preserve">  d est l’épaisseur, T et R les coefficients de transmission et de réflexion de l’échantillon.Le coefficient d’absorption est lié à l’énergie du gap et aux énergies des photons incidents, selon les relations établies par </w:t>
      </w:r>
      <w:r w:rsidR="008E7B3C">
        <w:rPr>
          <w:rFonts w:ascii="Times New Roman" w:hAnsi="Times New Roman"/>
          <w:color w:val="000000" w:themeColor="text1"/>
          <w:sz w:val="24"/>
          <w:szCs w:val="24"/>
        </w:rPr>
        <w:t>Pankove [52</w:t>
      </w:r>
      <w:r w:rsidR="00DC38C6" w:rsidRPr="00816009">
        <w:rPr>
          <w:rFonts w:ascii="Times New Roman" w:hAnsi="Times New Roman"/>
          <w:color w:val="000000" w:themeColor="text1"/>
          <w:sz w:val="24"/>
          <w:szCs w:val="24"/>
        </w:rPr>
        <w:t>] qui permettent</w:t>
      </w:r>
      <w:r w:rsidR="00DC38C6">
        <w:rPr>
          <w:rFonts w:ascii="Times New Roman" w:hAnsi="Times New Roman"/>
          <w:sz w:val="24"/>
          <w:szCs w:val="24"/>
        </w:rPr>
        <w:t xml:space="preserve"> de déterminer la nature des transitions qui peuvent exister entre les bandes d’énergie, suivant une loi en puissance de la forme :</w:t>
      </w:r>
    </w:p>
    <w:tbl>
      <w:tblPr>
        <w:tblW w:w="0" w:type="auto"/>
        <w:tblBorders>
          <w:insideH w:val="single" w:sz="4" w:space="0" w:color="auto"/>
        </w:tblBorders>
        <w:tblLook w:val="01E0"/>
      </w:tblPr>
      <w:tblGrid>
        <w:gridCol w:w="7970"/>
        <w:gridCol w:w="1210"/>
      </w:tblGrid>
      <w:tr w:rsidR="00111D80" w:rsidTr="002F3B84">
        <w:trPr>
          <w:trHeight w:val="1317"/>
        </w:trPr>
        <w:tc>
          <w:tcPr>
            <w:tcW w:w="7970" w:type="dxa"/>
            <w:vAlign w:val="center"/>
          </w:tcPr>
          <w:p w:rsidR="00111D80" w:rsidRDefault="00111D80" w:rsidP="00541F0F">
            <w:pPr>
              <w:spacing w:before="120" w:after="0" w:line="360" w:lineRule="auto"/>
              <w:ind w:firstLine="1134"/>
              <w:rPr>
                <w:rFonts w:ascii="Times New Roman" w:hAnsi="Times New Roman"/>
                <w:sz w:val="24"/>
                <w:szCs w:val="24"/>
              </w:rPr>
            </w:pPr>
            <w:r w:rsidRPr="00C446DF">
              <w:rPr>
                <w:position w:val="-24"/>
                <w:sz w:val="28"/>
              </w:rPr>
              <w:object w:dxaOrig="1840" w:dyaOrig="620">
                <v:shape id="_x0000_i1043" type="#_x0000_t75" style="width:92.4pt;height:31.25pt" o:ole="">
                  <v:imagedata r:id="rId49" o:title=""/>
                </v:shape>
                <o:OLEObject Type="Embed" ProgID="Equation.3" ShapeID="_x0000_i1043" DrawAspect="Content" ObjectID="_1305984799" r:id="rId50"/>
              </w:object>
            </w:r>
          </w:p>
        </w:tc>
        <w:tc>
          <w:tcPr>
            <w:tcW w:w="1210" w:type="dxa"/>
            <w:vAlign w:val="center"/>
          </w:tcPr>
          <w:p w:rsidR="00111D80" w:rsidRDefault="00111D80" w:rsidP="00B86F5C">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II</w:t>
            </w:r>
            <w:r w:rsidR="004D419A">
              <w:rPr>
                <w:rFonts w:ascii="Times New Roman" w:hAnsi="Times New Roman"/>
                <w:sz w:val="24"/>
                <w:szCs w:val="24"/>
              </w:rPr>
              <w:t>.</w:t>
            </w:r>
            <w:r>
              <w:rPr>
                <w:rFonts w:ascii="Times New Roman" w:hAnsi="Times New Roman"/>
                <w:sz w:val="24"/>
                <w:szCs w:val="24"/>
              </w:rPr>
              <w:t>9)</w:t>
            </w:r>
          </w:p>
        </w:tc>
      </w:tr>
    </w:tbl>
    <w:p w:rsidR="00111D80" w:rsidRDefault="002F3B84" w:rsidP="00541F0F">
      <w:pPr>
        <w:autoSpaceDE w:val="0"/>
        <w:autoSpaceDN w:val="0"/>
        <w:adjustRightInd w:val="0"/>
        <w:spacing w:before="120" w:after="0" w:line="360" w:lineRule="auto"/>
        <w:ind w:firstLine="567"/>
        <w:jc w:val="both"/>
        <w:rPr>
          <w:rFonts w:ascii="Times New Roman" w:hAnsi="Times New Roman"/>
          <w:sz w:val="24"/>
          <w:szCs w:val="24"/>
        </w:rPr>
      </w:pPr>
      <w:r>
        <w:rPr>
          <w:rFonts w:ascii="Times New Roman" w:hAnsi="Times New Roman"/>
          <w:sz w:val="24"/>
          <w:szCs w:val="24"/>
        </w:rPr>
        <w:t>Où</w:t>
      </w:r>
      <w:r w:rsidR="00111D80">
        <w:rPr>
          <w:rFonts w:ascii="Times New Roman" w:hAnsi="Times New Roman"/>
          <w:sz w:val="24"/>
          <w:szCs w:val="24"/>
        </w:rPr>
        <w:t xml:space="preserve"> </w:t>
      </w:r>
      <w:r w:rsidR="00111D80">
        <w:rPr>
          <w:rFonts w:ascii="Times New Roman" w:hAnsi="Times New Roman"/>
          <w:i/>
          <w:iCs/>
          <w:sz w:val="24"/>
          <w:szCs w:val="24"/>
        </w:rPr>
        <w:t>E</w:t>
      </w:r>
      <w:r w:rsidR="00111D80">
        <w:rPr>
          <w:rFonts w:ascii="Times New Roman" w:hAnsi="Times New Roman"/>
          <w:i/>
          <w:iCs/>
          <w:sz w:val="24"/>
          <w:szCs w:val="24"/>
          <w:vertAlign w:val="subscript"/>
        </w:rPr>
        <w:t>g</w:t>
      </w:r>
      <w:r w:rsidR="00111D80">
        <w:rPr>
          <w:rFonts w:ascii="Times New Roman" w:hAnsi="Times New Roman"/>
          <w:sz w:val="24"/>
          <w:szCs w:val="24"/>
        </w:rPr>
        <w:t xml:space="preserve"> est l’énergie de la bande interdite. </w:t>
      </w:r>
      <w:r w:rsidR="00111D80">
        <w:rPr>
          <w:rFonts w:ascii="Times New Roman" w:hAnsi="Times New Roman"/>
          <w:i/>
          <w:iCs/>
          <w:sz w:val="24"/>
          <w:szCs w:val="24"/>
        </w:rPr>
        <w:t>A</w:t>
      </w:r>
      <w:r w:rsidR="00111D80">
        <w:rPr>
          <w:rFonts w:ascii="Times New Roman" w:hAnsi="Times New Roman"/>
          <w:sz w:val="24"/>
          <w:szCs w:val="24"/>
        </w:rPr>
        <w:t xml:space="preserve"> est une constante, </w:t>
      </w:r>
      <w:r w:rsidR="00111D80">
        <w:rPr>
          <w:rFonts w:ascii="Times New Roman" w:hAnsi="Times New Roman"/>
          <w:i/>
          <w:iCs/>
          <w:sz w:val="24"/>
          <w:szCs w:val="24"/>
        </w:rPr>
        <w:t>h</w:t>
      </w:r>
      <w:r w:rsidR="00111D80">
        <w:rPr>
          <w:rFonts w:ascii="Times New Roman" w:hAnsi="Times New Roman"/>
          <w:sz w:val="24"/>
          <w:szCs w:val="24"/>
        </w:rPr>
        <w:t xml:space="preserve"> la constante de Planck, et </w:t>
      </w:r>
      <w:r w:rsidR="00111D80">
        <w:rPr>
          <w:rFonts w:ascii="Times New Roman" w:hAnsi="Times New Roman"/>
          <w:i/>
          <w:iCs/>
          <w:sz w:val="24"/>
          <w:szCs w:val="24"/>
        </w:rPr>
        <w:sym w:font="Symbol" w:char="F062"/>
      </w:r>
      <w:r w:rsidR="00111D80">
        <w:rPr>
          <w:rFonts w:ascii="Times New Roman" w:hAnsi="Times New Roman"/>
          <w:i/>
          <w:iCs/>
          <w:sz w:val="24"/>
          <w:szCs w:val="24"/>
        </w:rPr>
        <w:t xml:space="preserve"> </w:t>
      </w:r>
      <w:r w:rsidR="00111D80">
        <w:rPr>
          <w:rFonts w:ascii="Times New Roman" w:hAnsi="Times New Roman"/>
          <w:sz w:val="24"/>
          <w:szCs w:val="24"/>
        </w:rPr>
        <w:t xml:space="preserve">=1/2, 3/2 et 2, respectivement pour </w:t>
      </w:r>
      <w:r w:rsidR="00111D80">
        <w:rPr>
          <w:rFonts w:ascii="Times New Roman" w:hAnsi="Times New Roman"/>
          <w:bCs/>
          <w:sz w:val="24"/>
          <w:szCs w:val="24"/>
        </w:rPr>
        <w:t>une transition directe permise</w:t>
      </w:r>
      <w:r w:rsidR="00111D80">
        <w:rPr>
          <w:rFonts w:ascii="Times New Roman" w:hAnsi="Times New Roman"/>
          <w:sz w:val="24"/>
          <w:szCs w:val="24"/>
        </w:rPr>
        <w:t xml:space="preserve">, une transition directe interdite et une transition indirecte permise. Dans le cas des composés ternaires et quaternaires (CIS et CIGS), </w:t>
      </w:r>
      <w:r w:rsidR="00111D80">
        <w:rPr>
          <w:rFonts w:ascii="Times New Roman" w:hAnsi="Times New Roman"/>
          <w:i/>
          <w:iCs/>
          <w:sz w:val="24"/>
          <w:szCs w:val="24"/>
        </w:rPr>
        <w:sym w:font="Symbol" w:char="F062"/>
      </w:r>
      <w:r w:rsidR="00111D80">
        <w:rPr>
          <w:rFonts w:ascii="Times New Roman" w:hAnsi="Times New Roman"/>
          <w:i/>
          <w:iCs/>
          <w:sz w:val="24"/>
          <w:szCs w:val="24"/>
        </w:rPr>
        <w:t xml:space="preserve"> </w:t>
      </w:r>
      <w:r w:rsidR="00111D80">
        <w:rPr>
          <w:rFonts w:ascii="Times New Roman" w:hAnsi="Times New Roman"/>
          <w:sz w:val="24"/>
          <w:szCs w:val="24"/>
        </w:rPr>
        <w:t>=1/2. La valeur du gap peut être obtenue en extrapolant la partie linéaire de l'expression :</w:t>
      </w:r>
    </w:p>
    <w:tbl>
      <w:tblPr>
        <w:tblW w:w="0" w:type="auto"/>
        <w:tblBorders>
          <w:insideH w:val="single" w:sz="4" w:space="0" w:color="auto"/>
        </w:tblBorders>
        <w:tblLook w:val="01E0"/>
      </w:tblPr>
      <w:tblGrid>
        <w:gridCol w:w="7905"/>
        <w:gridCol w:w="1200"/>
      </w:tblGrid>
      <w:tr w:rsidR="00111D80" w:rsidTr="002F3B84">
        <w:trPr>
          <w:trHeight w:val="878"/>
        </w:trPr>
        <w:tc>
          <w:tcPr>
            <w:tcW w:w="7905" w:type="dxa"/>
            <w:vAlign w:val="center"/>
          </w:tcPr>
          <w:p w:rsidR="00111D80" w:rsidRDefault="00111D80" w:rsidP="00541F0F">
            <w:pPr>
              <w:spacing w:before="120" w:after="0" w:line="360" w:lineRule="auto"/>
              <w:ind w:firstLine="1134"/>
              <w:rPr>
                <w:rFonts w:ascii="Times New Roman" w:hAnsi="Times New Roman"/>
                <w:sz w:val="24"/>
                <w:szCs w:val="24"/>
              </w:rPr>
            </w:pPr>
            <w:r w:rsidRPr="00C446DF">
              <w:rPr>
                <w:position w:val="-14"/>
                <w:sz w:val="28"/>
              </w:rPr>
              <w:object w:dxaOrig="2040" w:dyaOrig="420">
                <v:shape id="_x0000_i1044" type="#_x0000_t75" style="width:101.9pt;height:20.4pt" o:ole="">
                  <v:imagedata r:id="rId51" o:title=""/>
                </v:shape>
                <o:OLEObject Type="Embed" ProgID="Equation.3" ShapeID="_x0000_i1044" DrawAspect="Content" ObjectID="_1305984800" r:id="rId52"/>
              </w:object>
            </w:r>
          </w:p>
        </w:tc>
        <w:tc>
          <w:tcPr>
            <w:tcW w:w="1200" w:type="dxa"/>
            <w:vAlign w:val="center"/>
          </w:tcPr>
          <w:p w:rsidR="00111D80" w:rsidRDefault="00111D80" w:rsidP="00B86F5C">
            <w:pPr>
              <w:spacing w:after="0" w:line="360" w:lineRule="auto"/>
              <w:jc w:val="right"/>
              <w:rPr>
                <w:rFonts w:ascii="Times New Roman" w:hAnsi="Times New Roman"/>
                <w:sz w:val="24"/>
                <w:szCs w:val="24"/>
              </w:rPr>
            </w:pPr>
            <w:r>
              <w:rPr>
                <w:rFonts w:ascii="Times New Roman" w:hAnsi="Times New Roman"/>
                <w:sz w:val="24"/>
                <w:szCs w:val="24"/>
              </w:rPr>
              <w:t>(</w:t>
            </w:r>
            <w:r w:rsidR="004D419A" w:rsidRPr="004D419A">
              <w:rPr>
                <w:rFonts w:asciiTheme="majorHAnsi" w:eastAsiaTheme="majorEastAsia" w:hAnsiTheme="majorHAnsi" w:cstheme="majorBidi"/>
                <w:sz w:val="24"/>
                <w:szCs w:val="24"/>
              </w:rPr>
              <w:t>II</w:t>
            </w:r>
            <w:r w:rsidR="004D419A">
              <w:rPr>
                <w:rFonts w:ascii="Times New Roman" w:hAnsi="Times New Roman"/>
                <w:sz w:val="24"/>
                <w:szCs w:val="24"/>
              </w:rPr>
              <w:t>.</w:t>
            </w:r>
            <w:r>
              <w:rPr>
                <w:rFonts w:ascii="Times New Roman" w:hAnsi="Times New Roman"/>
                <w:sz w:val="24"/>
                <w:szCs w:val="24"/>
              </w:rPr>
              <w:t>10)</w:t>
            </w:r>
          </w:p>
        </w:tc>
      </w:tr>
    </w:tbl>
    <w:p w:rsidR="00111D80" w:rsidRPr="00816009" w:rsidRDefault="00111D80" w:rsidP="00541F0F">
      <w:pPr>
        <w:pStyle w:val="ae"/>
        <w:suppressAutoHyphens/>
        <w:spacing w:before="120"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 xml:space="preserve">La </w:t>
      </w:r>
      <w:r w:rsidRPr="00816009">
        <w:rPr>
          <w:rFonts w:ascii="Times New Roman" w:hAnsi="Times New Roman"/>
          <w:color w:val="000000" w:themeColor="text1"/>
          <w:sz w:val="24"/>
          <w:szCs w:val="24"/>
        </w:rPr>
        <w:t xml:space="preserve">figure </w:t>
      </w:r>
      <w:r w:rsidR="005913EC" w:rsidRPr="00D70296">
        <w:rPr>
          <w:rFonts w:asciiTheme="majorBidi" w:hAnsiTheme="majorBidi" w:cstheme="majorBidi"/>
          <w:b/>
          <w:bCs/>
          <w:sz w:val="24"/>
          <w:szCs w:val="24"/>
        </w:rPr>
        <w:t>II</w:t>
      </w:r>
      <w:r w:rsidR="005913EC">
        <w:rPr>
          <w:rFonts w:ascii="Times New Roman" w:hAnsi="Times New Roman"/>
          <w:color w:val="000000" w:themeColor="text1"/>
          <w:sz w:val="24"/>
          <w:szCs w:val="24"/>
        </w:rPr>
        <w:t>.</w:t>
      </w:r>
      <w:r w:rsidR="00FA5943" w:rsidRPr="005913EC">
        <w:rPr>
          <w:rFonts w:ascii="Times New Roman" w:hAnsi="Times New Roman"/>
          <w:b/>
          <w:color w:val="000000" w:themeColor="text1"/>
          <w:sz w:val="24"/>
          <w:szCs w:val="24"/>
        </w:rPr>
        <w:t>9</w:t>
      </w:r>
      <w:r w:rsidRPr="00816009">
        <w:rPr>
          <w:rFonts w:ascii="Times New Roman" w:hAnsi="Times New Roman"/>
          <w:color w:val="000000" w:themeColor="text1"/>
          <w:sz w:val="24"/>
          <w:szCs w:val="24"/>
        </w:rPr>
        <w:t xml:space="preserve"> montre les coefficients d’absorption de</w:t>
      </w:r>
      <w:r w:rsidR="00D33A26" w:rsidRPr="00816009">
        <w:rPr>
          <w:rFonts w:ascii="Times New Roman" w:hAnsi="Times New Roman"/>
          <w:color w:val="000000" w:themeColor="text1"/>
          <w:sz w:val="24"/>
          <w:szCs w:val="24"/>
        </w:rPr>
        <w:t xml:space="preserve">s </w:t>
      </w:r>
      <w:r w:rsidRPr="00816009">
        <w:rPr>
          <w:rFonts w:ascii="Times New Roman" w:hAnsi="Times New Roman"/>
          <w:color w:val="000000" w:themeColor="text1"/>
          <w:sz w:val="24"/>
          <w:szCs w:val="24"/>
        </w:rPr>
        <w:t xml:space="preserve">matériaux photovoltaïques </w:t>
      </w:r>
      <w:r w:rsidR="002F3B84" w:rsidRPr="00816009">
        <w:rPr>
          <w:rFonts w:ascii="Times New Roman" w:hAnsi="Times New Roman"/>
          <w:color w:val="000000" w:themeColor="text1"/>
          <w:sz w:val="24"/>
          <w:szCs w:val="24"/>
        </w:rPr>
        <w:t>Cu (</w:t>
      </w:r>
      <w:r w:rsidR="00D33A26" w:rsidRPr="00816009">
        <w:rPr>
          <w:rFonts w:ascii="Times New Roman" w:hAnsi="Times New Roman"/>
          <w:color w:val="000000" w:themeColor="text1"/>
          <w:sz w:val="24"/>
          <w:szCs w:val="24"/>
        </w:rPr>
        <w:t>In,Ga)Se</w:t>
      </w:r>
      <w:r w:rsidR="00D33A26" w:rsidRPr="00816009">
        <w:rPr>
          <w:rFonts w:ascii="Times New Roman" w:hAnsi="Times New Roman"/>
          <w:color w:val="000000" w:themeColor="text1"/>
          <w:sz w:val="24"/>
          <w:szCs w:val="24"/>
          <w:vertAlign w:val="subscript"/>
        </w:rPr>
        <w:t>2</w:t>
      </w:r>
      <w:r w:rsidR="00D33A26" w:rsidRPr="00816009">
        <w:rPr>
          <w:rFonts w:ascii="Times New Roman" w:hAnsi="Times New Roman"/>
          <w:color w:val="000000" w:themeColor="text1"/>
          <w:sz w:val="24"/>
          <w:szCs w:val="24"/>
        </w:rPr>
        <w:t xml:space="preserve"> et CdTe </w:t>
      </w:r>
      <w:r w:rsidR="00D33A26" w:rsidRPr="00816009">
        <w:rPr>
          <w:rFonts w:ascii="Times New Roman" w:hAnsi="Times New Roman"/>
          <w:bCs/>
          <w:color w:val="000000" w:themeColor="text1"/>
          <w:sz w:val="24"/>
          <w:szCs w:val="24"/>
        </w:rPr>
        <w:t>[</w:t>
      </w:r>
      <w:r w:rsidR="008E7B3C">
        <w:rPr>
          <w:rFonts w:ascii="Times New Roman" w:hAnsi="Times New Roman"/>
          <w:bCs/>
          <w:color w:val="000000" w:themeColor="text1"/>
          <w:sz w:val="24"/>
          <w:szCs w:val="24"/>
        </w:rPr>
        <w:t>53</w:t>
      </w:r>
      <w:r w:rsidR="00D33A26" w:rsidRPr="00816009">
        <w:rPr>
          <w:rFonts w:ascii="Times New Roman" w:hAnsi="Times New Roman"/>
          <w:color w:val="000000" w:themeColor="text1"/>
          <w:sz w:val="24"/>
          <w:szCs w:val="24"/>
        </w:rPr>
        <w:t xml:space="preserve">]. </w:t>
      </w:r>
    </w:p>
    <w:p w:rsidR="00111D80" w:rsidRPr="00816009" w:rsidRDefault="00111D80" w:rsidP="00541F0F">
      <w:pPr>
        <w:spacing w:before="120" w:after="0" w:line="360" w:lineRule="auto"/>
        <w:ind w:firstLine="567"/>
        <w:jc w:val="both"/>
        <w:rPr>
          <w:rFonts w:ascii="Times New Roman" w:hAnsi="Times New Roman"/>
          <w:color w:val="000000" w:themeColor="text1"/>
          <w:sz w:val="24"/>
          <w:szCs w:val="24"/>
          <w:lang w:eastAsia="zh-CN"/>
        </w:rPr>
      </w:pPr>
      <w:r w:rsidRPr="00816009">
        <w:rPr>
          <w:rFonts w:ascii="Times New Roman" w:hAnsi="Times New Roman"/>
          <w:color w:val="000000" w:themeColor="text1"/>
          <w:sz w:val="24"/>
          <w:szCs w:val="24"/>
          <w:lang w:eastAsia="zh-CN"/>
        </w:rPr>
        <w:t xml:space="preserve">Par ailleurs, Tuttle et al. </w:t>
      </w:r>
      <w:r w:rsidR="008E7B3C">
        <w:rPr>
          <w:rFonts w:ascii="Times New Roman" w:hAnsi="Times New Roman"/>
          <w:color w:val="000000" w:themeColor="text1"/>
          <w:sz w:val="24"/>
          <w:szCs w:val="24"/>
        </w:rPr>
        <w:t>[54</w:t>
      </w:r>
      <w:r w:rsidRPr="00816009">
        <w:rPr>
          <w:rFonts w:ascii="Times New Roman" w:hAnsi="Times New Roman"/>
          <w:color w:val="000000" w:themeColor="text1"/>
          <w:sz w:val="24"/>
          <w:szCs w:val="24"/>
        </w:rPr>
        <w:t xml:space="preserve">] </w:t>
      </w:r>
      <w:r w:rsidRPr="00816009">
        <w:rPr>
          <w:rFonts w:ascii="Times New Roman" w:hAnsi="Times New Roman"/>
          <w:color w:val="000000" w:themeColor="text1"/>
          <w:sz w:val="24"/>
          <w:szCs w:val="24"/>
          <w:lang w:eastAsia="zh-CN"/>
        </w:rPr>
        <w:t>ont montré qu’à l’instar des propriétés électriques, les propriétés optiques des matériaux Cu-III-VI</w:t>
      </w:r>
      <w:r w:rsidRPr="00816009">
        <w:rPr>
          <w:rFonts w:ascii="Times New Roman" w:hAnsi="Times New Roman"/>
          <w:color w:val="000000" w:themeColor="text1"/>
          <w:sz w:val="24"/>
          <w:szCs w:val="24"/>
          <w:vertAlign w:val="subscript"/>
          <w:lang w:eastAsia="zh-CN"/>
        </w:rPr>
        <w:t>2</w:t>
      </w:r>
      <w:r w:rsidRPr="00816009">
        <w:rPr>
          <w:rFonts w:ascii="Times New Roman" w:hAnsi="Times New Roman"/>
          <w:color w:val="000000" w:themeColor="text1"/>
          <w:sz w:val="24"/>
          <w:szCs w:val="24"/>
          <w:lang w:eastAsia="zh-CN"/>
        </w:rPr>
        <w:t xml:space="preserve"> sont influencées par les écarts à la stœchiométrie. La figure </w:t>
      </w:r>
      <w:r w:rsidR="005913EC" w:rsidRPr="00D70296">
        <w:rPr>
          <w:rFonts w:asciiTheme="majorBidi" w:hAnsiTheme="majorBidi" w:cstheme="majorBidi"/>
          <w:b/>
          <w:bCs/>
          <w:sz w:val="24"/>
          <w:szCs w:val="24"/>
        </w:rPr>
        <w:t>II</w:t>
      </w:r>
      <w:r w:rsidR="005913EC" w:rsidRPr="005913EC">
        <w:rPr>
          <w:rFonts w:ascii="Times New Roman" w:hAnsi="Times New Roman"/>
          <w:b/>
          <w:color w:val="000000" w:themeColor="text1"/>
          <w:sz w:val="24"/>
          <w:szCs w:val="24"/>
          <w:lang w:eastAsia="zh-CN"/>
        </w:rPr>
        <w:t>.</w:t>
      </w:r>
      <w:r w:rsidR="00FA5943" w:rsidRPr="005913EC">
        <w:rPr>
          <w:rFonts w:ascii="Times New Roman" w:hAnsi="Times New Roman"/>
          <w:b/>
          <w:color w:val="000000" w:themeColor="text1"/>
          <w:sz w:val="24"/>
          <w:szCs w:val="24"/>
          <w:lang w:eastAsia="zh-CN"/>
        </w:rPr>
        <w:t>10</w:t>
      </w:r>
      <w:r w:rsidRPr="00816009">
        <w:rPr>
          <w:rFonts w:ascii="Times New Roman" w:hAnsi="Times New Roman"/>
          <w:color w:val="000000" w:themeColor="text1"/>
          <w:sz w:val="24"/>
          <w:szCs w:val="24"/>
          <w:lang w:eastAsia="zh-CN"/>
        </w:rPr>
        <w:t xml:space="preserve"> montre l’évolution du coefficient d’absorption du CuInSe</w:t>
      </w:r>
      <w:r w:rsidRPr="00816009">
        <w:rPr>
          <w:rFonts w:ascii="Times New Roman" w:hAnsi="Times New Roman"/>
          <w:color w:val="000000" w:themeColor="text1"/>
          <w:sz w:val="24"/>
          <w:szCs w:val="24"/>
          <w:vertAlign w:val="subscript"/>
          <w:lang w:eastAsia="zh-CN"/>
        </w:rPr>
        <w:t>2</w:t>
      </w:r>
      <w:r w:rsidRPr="00816009">
        <w:rPr>
          <w:rFonts w:ascii="Times New Roman" w:hAnsi="Times New Roman"/>
          <w:color w:val="000000" w:themeColor="text1"/>
          <w:sz w:val="24"/>
          <w:szCs w:val="24"/>
          <w:lang w:eastAsia="zh-CN"/>
        </w:rPr>
        <w:t xml:space="preserve"> en fonction des écarts à la </w:t>
      </w:r>
      <w:r w:rsidR="00D33A26" w:rsidRPr="00816009">
        <w:rPr>
          <w:rFonts w:ascii="Times New Roman" w:hAnsi="Times New Roman"/>
          <w:color w:val="000000" w:themeColor="text1"/>
          <w:sz w:val="24"/>
          <w:szCs w:val="24"/>
          <w:lang w:eastAsia="zh-CN"/>
        </w:rPr>
        <w:t>stœchiométrie</w:t>
      </w:r>
      <w:r w:rsidRPr="00816009">
        <w:rPr>
          <w:rFonts w:ascii="Times New Roman" w:hAnsi="Times New Roman"/>
          <w:color w:val="000000" w:themeColor="text1"/>
          <w:sz w:val="24"/>
          <w:szCs w:val="24"/>
          <w:lang w:eastAsia="zh-CN"/>
        </w:rPr>
        <w:t xml:space="preserve"> </w:t>
      </w:r>
      <w:r w:rsidR="008E7B3C">
        <w:rPr>
          <w:rFonts w:ascii="Times New Roman" w:hAnsi="Times New Roman"/>
          <w:color w:val="000000" w:themeColor="text1"/>
          <w:sz w:val="24"/>
          <w:szCs w:val="24"/>
        </w:rPr>
        <w:t>[54</w:t>
      </w:r>
      <w:r w:rsidRPr="00816009">
        <w:rPr>
          <w:rFonts w:ascii="Times New Roman" w:hAnsi="Times New Roman"/>
          <w:color w:val="000000" w:themeColor="text1"/>
          <w:sz w:val="24"/>
          <w:szCs w:val="24"/>
        </w:rPr>
        <w:t>].</w:t>
      </w:r>
    </w:p>
    <w:p w:rsidR="00111D80" w:rsidRDefault="00111D80" w:rsidP="00541F0F">
      <w:pPr>
        <w:spacing w:before="120" w:after="0" w:line="360" w:lineRule="auto"/>
        <w:ind w:firstLine="567"/>
        <w:jc w:val="both"/>
        <w:rPr>
          <w:rFonts w:ascii="Times New Roman" w:hAnsi="Times New Roman"/>
          <w:sz w:val="24"/>
          <w:szCs w:val="24"/>
        </w:rPr>
      </w:pPr>
      <w:r w:rsidRPr="00816009">
        <w:rPr>
          <w:rFonts w:ascii="Times New Roman" w:hAnsi="Times New Roman"/>
          <w:color w:val="000000" w:themeColor="text1"/>
          <w:sz w:val="24"/>
          <w:szCs w:val="24"/>
        </w:rPr>
        <w:t xml:space="preserve">La figure </w:t>
      </w:r>
      <w:r w:rsidR="005913EC" w:rsidRPr="005913EC">
        <w:rPr>
          <w:rFonts w:asciiTheme="majorBidi" w:hAnsiTheme="majorBidi" w:cstheme="majorBidi"/>
          <w:b/>
          <w:bCs/>
          <w:sz w:val="24"/>
          <w:szCs w:val="24"/>
        </w:rPr>
        <w:t>II</w:t>
      </w:r>
      <w:r w:rsidR="005913EC" w:rsidRPr="005913EC">
        <w:rPr>
          <w:rFonts w:ascii="Times New Roman" w:hAnsi="Times New Roman"/>
          <w:b/>
          <w:color w:val="000000" w:themeColor="text1"/>
          <w:sz w:val="24"/>
          <w:szCs w:val="24"/>
        </w:rPr>
        <w:t>.</w:t>
      </w:r>
      <w:r w:rsidRPr="005913EC">
        <w:rPr>
          <w:rFonts w:ascii="Times New Roman" w:hAnsi="Times New Roman"/>
          <w:b/>
          <w:color w:val="000000" w:themeColor="text1"/>
          <w:sz w:val="24"/>
          <w:szCs w:val="24"/>
        </w:rPr>
        <w:t>1</w:t>
      </w:r>
      <w:r w:rsidR="00FA5943" w:rsidRPr="005913EC">
        <w:rPr>
          <w:rFonts w:ascii="Times New Roman" w:hAnsi="Times New Roman"/>
          <w:b/>
          <w:color w:val="000000" w:themeColor="text1"/>
          <w:sz w:val="24"/>
          <w:szCs w:val="24"/>
        </w:rPr>
        <w:t>1</w:t>
      </w:r>
      <w:r w:rsidRPr="00816009">
        <w:rPr>
          <w:rFonts w:ascii="Times New Roman" w:hAnsi="Times New Roman"/>
          <w:color w:val="000000" w:themeColor="text1"/>
          <w:sz w:val="24"/>
          <w:szCs w:val="24"/>
        </w:rPr>
        <w:t xml:space="preserve"> présente la variation du coefficient d’absorption des couches minces CIGS en fonction de l’énergie des photons incidents hν pour différente</w:t>
      </w:r>
      <w:r w:rsidR="008E7B3C">
        <w:rPr>
          <w:rFonts w:ascii="Times New Roman" w:hAnsi="Times New Roman"/>
          <w:color w:val="000000" w:themeColor="text1"/>
          <w:sz w:val="24"/>
          <w:szCs w:val="24"/>
        </w:rPr>
        <w:t>s compositions [Ga]/[Ga + In] [55</w:t>
      </w:r>
      <w:r w:rsidRPr="00816009">
        <w:rPr>
          <w:rFonts w:ascii="Times New Roman" w:hAnsi="Times New Roman"/>
          <w:color w:val="000000" w:themeColor="text1"/>
          <w:sz w:val="24"/>
          <w:szCs w:val="24"/>
        </w:rPr>
        <w:t xml:space="preserve">]. Le tableau </w:t>
      </w:r>
      <w:r w:rsidR="005913EC" w:rsidRPr="00D70296">
        <w:rPr>
          <w:rFonts w:asciiTheme="majorBidi" w:hAnsiTheme="majorBidi" w:cstheme="majorBidi"/>
          <w:b/>
          <w:bCs/>
          <w:sz w:val="24"/>
          <w:szCs w:val="24"/>
        </w:rPr>
        <w:t>II</w:t>
      </w:r>
      <w:r w:rsidR="005913EC" w:rsidRPr="005913EC">
        <w:rPr>
          <w:rFonts w:ascii="Times New Roman" w:hAnsi="Times New Roman"/>
          <w:b/>
          <w:color w:val="000000" w:themeColor="text1"/>
          <w:sz w:val="24"/>
          <w:szCs w:val="24"/>
        </w:rPr>
        <w:t>.</w:t>
      </w:r>
      <w:r w:rsidRPr="005913EC">
        <w:rPr>
          <w:rFonts w:ascii="Times New Roman" w:hAnsi="Times New Roman"/>
          <w:b/>
          <w:color w:val="000000" w:themeColor="text1"/>
          <w:sz w:val="24"/>
          <w:szCs w:val="24"/>
        </w:rPr>
        <w:t>2</w:t>
      </w:r>
      <w:r w:rsidRPr="00816009">
        <w:rPr>
          <w:rFonts w:ascii="Times New Roman" w:hAnsi="Times New Roman"/>
          <w:color w:val="000000" w:themeColor="text1"/>
          <w:sz w:val="24"/>
          <w:szCs w:val="24"/>
        </w:rPr>
        <w:t xml:space="preserve"> récapitule les différentes valeurs de l’énergie du gap pour les matériaux Cu-III-VI</w:t>
      </w:r>
      <w:r w:rsidRPr="00816009">
        <w:rPr>
          <w:rFonts w:ascii="Times New Roman" w:hAnsi="Times New Roman"/>
          <w:color w:val="000000" w:themeColor="text1"/>
          <w:sz w:val="24"/>
          <w:szCs w:val="24"/>
          <w:vertAlign w:val="subscript"/>
        </w:rPr>
        <w:t>2</w:t>
      </w:r>
      <w:r w:rsidRPr="00816009">
        <w:rPr>
          <w:rFonts w:ascii="Times New Roman" w:hAnsi="Times New Roman"/>
          <w:color w:val="000000" w:themeColor="text1"/>
          <w:sz w:val="24"/>
          <w:szCs w:val="24"/>
        </w:rPr>
        <w:t xml:space="preserve"> ainsi que les rendements</w:t>
      </w:r>
      <w:r>
        <w:rPr>
          <w:rFonts w:ascii="Times New Roman" w:hAnsi="Times New Roman"/>
          <w:sz w:val="24"/>
          <w:szCs w:val="24"/>
        </w:rPr>
        <w:t xml:space="preserve"> de conversion affichés à ce jour.</w:t>
      </w:r>
    </w:p>
    <w:p w:rsidR="00D33A26" w:rsidRDefault="00D33A26" w:rsidP="00541F0F">
      <w:pPr>
        <w:spacing w:before="120" w:after="0" w:line="360" w:lineRule="auto"/>
        <w:ind w:hanging="142"/>
        <w:jc w:val="center"/>
        <w:rPr>
          <w:rFonts w:ascii="Times New Roman" w:hAnsi="Times New Roman"/>
          <w:sz w:val="24"/>
          <w:szCs w:val="24"/>
        </w:rPr>
      </w:pPr>
      <w:r w:rsidRPr="00D33A26">
        <w:rPr>
          <w:rFonts w:ascii="Times New Roman" w:hAnsi="Times New Roman"/>
          <w:noProof/>
          <w:sz w:val="24"/>
          <w:szCs w:val="24"/>
          <w:lang w:eastAsia="fr-FR"/>
        </w:rPr>
        <w:lastRenderedPageBreak/>
        <w:drawing>
          <wp:inline distT="0" distB="0" distL="0" distR="0">
            <wp:extent cx="3433725" cy="3916690"/>
            <wp:effectExtent l="19050" t="0" r="0" b="0"/>
            <wp:docPr id="8"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cstate="print"/>
                    <a:srcRect/>
                    <a:stretch>
                      <a:fillRect/>
                    </a:stretch>
                  </pic:blipFill>
                  <pic:spPr bwMode="auto">
                    <a:xfrm>
                      <a:off x="0" y="0"/>
                      <a:ext cx="3433725" cy="3916690"/>
                    </a:xfrm>
                    <a:prstGeom prst="rect">
                      <a:avLst/>
                    </a:prstGeom>
                    <a:noFill/>
                    <a:ln w="9525">
                      <a:noFill/>
                      <a:miter lim="800000"/>
                      <a:headEnd/>
                      <a:tailEnd/>
                    </a:ln>
                  </pic:spPr>
                </pic:pic>
              </a:graphicData>
            </a:graphic>
          </wp:inline>
        </w:drawing>
      </w:r>
    </w:p>
    <w:p w:rsidR="00D33A26" w:rsidRPr="002F3B84" w:rsidRDefault="00D33A26" w:rsidP="00541F0F">
      <w:pPr>
        <w:autoSpaceDE w:val="0"/>
        <w:autoSpaceDN w:val="0"/>
        <w:adjustRightInd w:val="0"/>
        <w:spacing w:before="120" w:after="0" w:line="360" w:lineRule="auto"/>
        <w:jc w:val="center"/>
        <w:rPr>
          <w:rFonts w:ascii="Times New Roman" w:hAnsi="Times New Roman" w:cs="Times New Roman"/>
          <w:sz w:val="24"/>
          <w:szCs w:val="24"/>
        </w:rPr>
      </w:pPr>
      <w:r w:rsidRPr="00816009">
        <w:rPr>
          <w:rFonts w:ascii="Times New Roman" w:hAnsi="Times New Roman" w:cs="Times New Roman"/>
          <w:b/>
          <w:sz w:val="24"/>
          <w:szCs w:val="24"/>
        </w:rPr>
        <w:t xml:space="preserve">Figure </w:t>
      </w:r>
      <w:r w:rsidR="005913EC" w:rsidRPr="00D70296">
        <w:rPr>
          <w:rFonts w:asciiTheme="majorBidi" w:hAnsiTheme="majorBidi" w:cstheme="majorBidi"/>
          <w:b/>
          <w:bCs/>
          <w:sz w:val="24"/>
          <w:szCs w:val="24"/>
        </w:rPr>
        <w:t>II</w:t>
      </w:r>
      <w:r w:rsidR="005913EC">
        <w:rPr>
          <w:rFonts w:ascii="Times New Roman" w:hAnsi="Times New Roman" w:cs="Times New Roman"/>
          <w:b/>
          <w:sz w:val="24"/>
          <w:szCs w:val="24"/>
        </w:rPr>
        <w:t>.</w:t>
      </w:r>
      <w:r w:rsidR="00FA5943" w:rsidRPr="00816009">
        <w:rPr>
          <w:rFonts w:ascii="Times New Roman" w:hAnsi="Times New Roman" w:cs="Times New Roman"/>
          <w:b/>
          <w:sz w:val="24"/>
          <w:szCs w:val="24"/>
        </w:rPr>
        <w:t>9</w:t>
      </w:r>
      <w:r>
        <w:rPr>
          <w:rFonts w:ascii="Times New Roman" w:hAnsi="Times New Roman" w:cs="Times New Roman"/>
          <w:bCs/>
          <w:sz w:val="24"/>
          <w:szCs w:val="24"/>
        </w:rPr>
        <w:t> : T</w:t>
      </w:r>
      <w:r w:rsidRPr="00035B20">
        <w:rPr>
          <w:rFonts w:ascii="Times New Roman" w:hAnsi="Times New Roman" w:cs="Times New Roman"/>
          <w:bCs/>
          <w:sz w:val="24"/>
          <w:szCs w:val="24"/>
        </w:rPr>
        <w:t>ransmission</w:t>
      </w:r>
      <w:r>
        <w:rPr>
          <w:rFonts w:ascii="Times New Roman" w:hAnsi="Times New Roman" w:cs="Times New Roman"/>
          <w:bCs/>
          <w:sz w:val="24"/>
          <w:szCs w:val="24"/>
        </w:rPr>
        <w:t>s</w:t>
      </w:r>
      <w:r w:rsidRPr="00035B20">
        <w:rPr>
          <w:rFonts w:ascii="Times New Roman" w:hAnsi="Times New Roman" w:cs="Times New Roman"/>
          <w:bCs/>
          <w:sz w:val="24"/>
          <w:szCs w:val="24"/>
        </w:rPr>
        <w:t xml:space="preserve"> optique</w:t>
      </w:r>
      <w:r>
        <w:rPr>
          <w:rFonts w:ascii="Times New Roman" w:hAnsi="Times New Roman" w:cs="Times New Roman"/>
          <w:bCs/>
          <w:sz w:val="24"/>
          <w:szCs w:val="24"/>
        </w:rPr>
        <w:t>s</w:t>
      </w:r>
      <w:r w:rsidRPr="00035B20">
        <w:rPr>
          <w:rFonts w:ascii="Times New Roman" w:hAnsi="Times New Roman" w:cs="Times New Roman"/>
          <w:bCs/>
          <w:sz w:val="24"/>
          <w:szCs w:val="24"/>
        </w:rPr>
        <w:t xml:space="preserve"> des </w:t>
      </w:r>
      <w:r w:rsidR="002F3B84" w:rsidRPr="00035B20">
        <w:rPr>
          <w:rFonts w:ascii="Times New Roman" w:hAnsi="Times New Roman" w:cs="Times New Roman"/>
          <w:bCs/>
          <w:sz w:val="24"/>
          <w:szCs w:val="24"/>
        </w:rPr>
        <w:t>différents</w:t>
      </w:r>
      <w:r w:rsidRPr="00035B20">
        <w:rPr>
          <w:rFonts w:ascii="Times New Roman" w:hAnsi="Times New Roman" w:cs="Times New Roman"/>
          <w:bCs/>
          <w:sz w:val="24"/>
          <w:szCs w:val="24"/>
        </w:rPr>
        <w:t xml:space="preserve"> </w:t>
      </w:r>
      <w:r w:rsidRPr="002F3B84">
        <w:rPr>
          <w:rFonts w:ascii="Times New Roman" w:hAnsi="Times New Roman" w:cs="Times New Roman"/>
          <w:bCs/>
          <w:sz w:val="24"/>
          <w:szCs w:val="24"/>
        </w:rPr>
        <w:t>absorbeurs [</w:t>
      </w:r>
      <w:r w:rsidR="008E7B3C">
        <w:rPr>
          <w:rFonts w:ascii="Times New Roman" w:hAnsi="Times New Roman" w:cs="Times New Roman"/>
          <w:bCs/>
          <w:sz w:val="24"/>
          <w:szCs w:val="24"/>
        </w:rPr>
        <w:t>53</w:t>
      </w:r>
      <w:r w:rsidRPr="002F3B84">
        <w:rPr>
          <w:rFonts w:ascii="Times New Roman" w:hAnsi="Times New Roman" w:cs="Times New Roman"/>
          <w:sz w:val="24"/>
          <w:szCs w:val="24"/>
        </w:rPr>
        <w:t>].</w:t>
      </w:r>
    </w:p>
    <w:p w:rsidR="00111D80" w:rsidRDefault="00111D80" w:rsidP="00541F0F">
      <w:pPr>
        <w:keepNext/>
        <w:spacing w:before="120" w:after="0" w:line="360" w:lineRule="auto"/>
        <w:jc w:val="center"/>
      </w:pPr>
      <w:r>
        <w:rPr>
          <w:noProof/>
          <w:color w:val="FF0000"/>
          <w:lang w:eastAsia="fr-FR"/>
        </w:rPr>
        <w:drawing>
          <wp:inline distT="0" distB="0" distL="0" distR="0">
            <wp:extent cx="3550443" cy="3577132"/>
            <wp:effectExtent l="1905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srcRect/>
                    <a:stretch>
                      <a:fillRect/>
                    </a:stretch>
                  </pic:blipFill>
                  <pic:spPr bwMode="auto">
                    <a:xfrm>
                      <a:off x="0" y="0"/>
                      <a:ext cx="3550443" cy="3577132"/>
                    </a:xfrm>
                    <a:prstGeom prst="rect">
                      <a:avLst/>
                    </a:prstGeom>
                    <a:noFill/>
                    <a:ln w="9525">
                      <a:noFill/>
                      <a:miter lim="800000"/>
                      <a:headEnd/>
                      <a:tailEnd/>
                    </a:ln>
                  </pic:spPr>
                </pic:pic>
              </a:graphicData>
            </a:graphic>
          </wp:inline>
        </w:drawing>
      </w:r>
    </w:p>
    <w:p w:rsidR="00111D80" w:rsidRDefault="00111D80" w:rsidP="00541F0F">
      <w:pPr>
        <w:pStyle w:val="ab"/>
        <w:spacing w:after="0" w:line="360" w:lineRule="auto"/>
        <w:jc w:val="center"/>
        <w:rPr>
          <w:b w:val="0"/>
          <w:bCs/>
          <w:sz w:val="24"/>
        </w:rPr>
      </w:pPr>
      <w:r w:rsidRPr="00816009">
        <w:rPr>
          <w:color w:val="000000" w:themeColor="text1"/>
          <w:sz w:val="24"/>
          <w:szCs w:val="24"/>
        </w:rPr>
        <w:t xml:space="preserve">Figure </w:t>
      </w:r>
      <w:r w:rsidR="005913EC" w:rsidRPr="00D70296">
        <w:rPr>
          <w:rFonts w:asciiTheme="majorBidi" w:hAnsiTheme="majorBidi" w:cstheme="majorBidi"/>
          <w:bCs/>
          <w:sz w:val="24"/>
          <w:szCs w:val="24"/>
        </w:rPr>
        <w:t>II</w:t>
      </w:r>
      <w:r w:rsidR="005913EC">
        <w:rPr>
          <w:color w:val="000000" w:themeColor="text1"/>
          <w:sz w:val="24"/>
          <w:szCs w:val="24"/>
        </w:rPr>
        <w:t>.</w:t>
      </w:r>
      <w:r w:rsidR="00D33A26" w:rsidRPr="00816009">
        <w:rPr>
          <w:color w:val="000000" w:themeColor="text1"/>
          <w:sz w:val="24"/>
          <w:szCs w:val="24"/>
        </w:rPr>
        <w:t>10</w:t>
      </w:r>
      <w:r w:rsidRPr="00816009">
        <w:rPr>
          <w:color w:val="000000" w:themeColor="text1"/>
          <w:sz w:val="24"/>
          <w:szCs w:val="24"/>
        </w:rPr>
        <w:t xml:space="preserve"> : </w:t>
      </w:r>
      <w:r w:rsidRPr="00816009">
        <w:rPr>
          <w:b w:val="0"/>
          <w:bCs/>
          <w:color w:val="000000" w:themeColor="text1"/>
          <w:sz w:val="24"/>
          <w:szCs w:val="24"/>
        </w:rPr>
        <w:t>Evolution du</w:t>
      </w:r>
      <w:r>
        <w:rPr>
          <w:b w:val="0"/>
          <w:bCs/>
          <w:sz w:val="24"/>
          <w:szCs w:val="24"/>
        </w:rPr>
        <w:t xml:space="preserve"> coefficient d’absorption optique de CuInSe</w:t>
      </w:r>
      <w:r>
        <w:rPr>
          <w:b w:val="0"/>
          <w:bCs/>
          <w:sz w:val="24"/>
          <w:szCs w:val="24"/>
          <w:vertAlign w:val="subscript"/>
        </w:rPr>
        <w:t>2</w:t>
      </w:r>
      <w:r>
        <w:rPr>
          <w:b w:val="0"/>
          <w:bCs/>
          <w:sz w:val="24"/>
          <w:szCs w:val="24"/>
        </w:rPr>
        <w:t xml:space="preserve"> en fonction de </w:t>
      </w:r>
      <w:r>
        <w:rPr>
          <w:b w:val="0"/>
          <w:bCs/>
          <w:sz w:val="24"/>
        </w:rPr>
        <w:t xml:space="preserve">l’énergie des photons </w:t>
      </w:r>
      <w:r>
        <w:rPr>
          <w:b w:val="0"/>
          <w:bCs/>
          <w:i/>
          <w:iCs/>
          <w:sz w:val="24"/>
        </w:rPr>
        <w:t>hν</w:t>
      </w:r>
      <w:r>
        <w:rPr>
          <w:b w:val="0"/>
          <w:bCs/>
          <w:sz w:val="24"/>
        </w:rPr>
        <w:t xml:space="preserve"> et des écarts à la stoechiométrie.</w:t>
      </w:r>
    </w:p>
    <w:p w:rsidR="00452127" w:rsidRPr="00452127" w:rsidRDefault="00452127" w:rsidP="00452127">
      <w:pPr>
        <w:rPr>
          <w:lang w:eastAsia="zh-CN"/>
        </w:rPr>
      </w:pPr>
    </w:p>
    <w:p w:rsidR="00111D80" w:rsidRDefault="00111D80" w:rsidP="00541F0F">
      <w:pPr>
        <w:autoSpaceDE w:val="0"/>
        <w:autoSpaceDN w:val="0"/>
        <w:adjustRightInd w:val="0"/>
        <w:spacing w:before="120" w:after="0"/>
        <w:jc w:val="center"/>
      </w:pPr>
      <w:r>
        <w:rPr>
          <w:noProof/>
          <w:lang w:eastAsia="fr-FR"/>
        </w:rPr>
        <w:lastRenderedPageBreak/>
        <w:drawing>
          <wp:inline distT="0" distB="0" distL="0" distR="0">
            <wp:extent cx="2938737" cy="3743457"/>
            <wp:effectExtent l="19050" t="0" r="0" b="0"/>
            <wp:docPr id="33" name="Image 33" descr="Absorption-Composition CI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bsorption-Composition CIGS"/>
                    <pic:cNvPicPr>
                      <a:picLocks noChangeAspect="1" noChangeArrowheads="1"/>
                    </pic:cNvPicPr>
                  </pic:nvPicPr>
                  <pic:blipFill>
                    <a:blip r:embed="rId55" cstate="print"/>
                    <a:srcRect/>
                    <a:stretch>
                      <a:fillRect/>
                    </a:stretch>
                  </pic:blipFill>
                  <pic:spPr bwMode="auto">
                    <a:xfrm>
                      <a:off x="0" y="0"/>
                      <a:ext cx="2938737" cy="3743457"/>
                    </a:xfrm>
                    <a:prstGeom prst="rect">
                      <a:avLst/>
                    </a:prstGeom>
                    <a:noFill/>
                    <a:ln w="9525">
                      <a:noFill/>
                      <a:miter lim="800000"/>
                      <a:headEnd/>
                      <a:tailEnd/>
                    </a:ln>
                  </pic:spPr>
                </pic:pic>
              </a:graphicData>
            </a:graphic>
          </wp:inline>
        </w:drawing>
      </w:r>
    </w:p>
    <w:p w:rsidR="00AB417E" w:rsidRPr="00541F0F" w:rsidRDefault="00111D80" w:rsidP="00A434A7">
      <w:pPr>
        <w:pStyle w:val="ab"/>
        <w:spacing w:before="0" w:line="360" w:lineRule="auto"/>
        <w:jc w:val="center"/>
        <w:rPr>
          <w:b w:val="0"/>
          <w:bCs/>
          <w:sz w:val="24"/>
        </w:rPr>
      </w:pPr>
      <w:r w:rsidRPr="00816009">
        <w:rPr>
          <w:color w:val="000000" w:themeColor="text1"/>
          <w:sz w:val="24"/>
          <w:szCs w:val="24"/>
        </w:rPr>
        <w:t xml:space="preserve">Figure </w:t>
      </w:r>
      <w:r w:rsidR="005913EC" w:rsidRPr="00D70296">
        <w:rPr>
          <w:rFonts w:asciiTheme="majorBidi" w:hAnsiTheme="majorBidi" w:cstheme="majorBidi"/>
          <w:bCs/>
          <w:sz w:val="24"/>
          <w:szCs w:val="24"/>
        </w:rPr>
        <w:t>II</w:t>
      </w:r>
      <w:r w:rsidR="005913EC">
        <w:rPr>
          <w:color w:val="000000" w:themeColor="text1"/>
          <w:sz w:val="24"/>
          <w:szCs w:val="24"/>
        </w:rPr>
        <w:t>.</w:t>
      </w:r>
      <w:r w:rsidRPr="00816009">
        <w:rPr>
          <w:color w:val="000000" w:themeColor="text1"/>
          <w:sz w:val="24"/>
          <w:szCs w:val="24"/>
        </w:rPr>
        <w:t>1</w:t>
      </w:r>
      <w:r w:rsidR="00FA5943" w:rsidRPr="00816009">
        <w:rPr>
          <w:color w:val="000000" w:themeColor="text1"/>
          <w:sz w:val="24"/>
          <w:szCs w:val="24"/>
        </w:rPr>
        <w:t>1</w:t>
      </w:r>
      <w:r w:rsidRPr="00816009">
        <w:rPr>
          <w:color w:val="000000" w:themeColor="text1"/>
          <w:sz w:val="24"/>
          <w:szCs w:val="24"/>
        </w:rPr>
        <w:t xml:space="preserve"> : </w:t>
      </w:r>
      <w:r w:rsidRPr="00816009">
        <w:rPr>
          <w:b w:val="0"/>
          <w:bCs/>
          <w:color w:val="000000" w:themeColor="text1"/>
          <w:sz w:val="24"/>
          <w:szCs w:val="24"/>
        </w:rPr>
        <w:t>Evolution du</w:t>
      </w:r>
      <w:r>
        <w:rPr>
          <w:b w:val="0"/>
          <w:bCs/>
          <w:sz w:val="24"/>
          <w:szCs w:val="24"/>
        </w:rPr>
        <w:t xml:space="preserve"> coefficient d’absorption optique de CISG en fonction de </w:t>
      </w:r>
      <w:r>
        <w:rPr>
          <w:b w:val="0"/>
          <w:bCs/>
          <w:sz w:val="24"/>
        </w:rPr>
        <w:t xml:space="preserve">l’énergie des photons </w:t>
      </w:r>
      <w:r>
        <w:rPr>
          <w:b w:val="0"/>
          <w:bCs/>
          <w:i/>
          <w:iCs/>
          <w:sz w:val="24"/>
        </w:rPr>
        <w:t>hν</w:t>
      </w:r>
      <w:r>
        <w:rPr>
          <w:b w:val="0"/>
          <w:bCs/>
          <w:sz w:val="24"/>
        </w:rPr>
        <w:t xml:space="preserve"> et des compositions </w:t>
      </w:r>
      <w:r>
        <w:rPr>
          <w:b w:val="0"/>
          <w:bCs/>
          <w:color w:val="000000"/>
          <w:sz w:val="24"/>
        </w:rPr>
        <w:t>[Ga]/[Ga + In]</w:t>
      </w:r>
      <w:r>
        <w:rPr>
          <w:b w:val="0"/>
          <w:bCs/>
          <w:sz w:val="24"/>
        </w:rPr>
        <w:t>.</w:t>
      </w:r>
    </w:p>
    <w:tbl>
      <w:tblPr>
        <w:tblW w:w="9586" w:type="dxa"/>
        <w:tblBorders>
          <w:top w:val="single" w:sz="12" w:space="0" w:color="000000"/>
          <w:bottom w:val="single" w:sz="12" w:space="0" w:color="000000"/>
          <w:insideH w:val="single" w:sz="6" w:space="0" w:color="000000"/>
        </w:tblBorders>
        <w:tblLayout w:type="fixed"/>
        <w:tblLook w:val="00A0"/>
      </w:tblPr>
      <w:tblGrid>
        <w:gridCol w:w="1781"/>
        <w:gridCol w:w="239"/>
        <w:gridCol w:w="802"/>
        <w:gridCol w:w="239"/>
        <w:gridCol w:w="2364"/>
        <w:gridCol w:w="239"/>
        <w:gridCol w:w="2307"/>
        <w:gridCol w:w="325"/>
        <w:gridCol w:w="1290"/>
      </w:tblGrid>
      <w:tr w:rsidR="002702C0" w:rsidTr="002702C0">
        <w:trPr>
          <w:trHeight w:val="635"/>
        </w:trPr>
        <w:tc>
          <w:tcPr>
            <w:tcW w:w="1781" w:type="dxa"/>
            <w:tcBorders>
              <w:left w:val="single" w:sz="4" w:space="0" w:color="auto"/>
              <w:bottom w:val="single" w:sz="12" w:space="0" w:color="000000"/>
            </w:tcBorders>
          </w:tcPr>
          <w:p w:rsidR="002702C0" w:rsidRDefault="002702C0" w:rsidP="002702C0">
            <w:pPr>
              <w:spacing w:before="120" w:after="120" w:line="360" w:lineRule="auto"/>
              <w:jc w:val="center"/>
              <w:rPr>
                <w:rFonts w:ascii="Times New Roman" w:hAnsi="Times New Roman"/>
                <w:b/>
                <w:bCs/>
                <w:sz w:val="24"/>
                <w:szCs w:val="24"/>
              </w:rPr>
            </w:pPr>
            <w:r>
              <w:rPr>
                <w:rFonts w:ascii="Times New Roman" w:hAnsi="Times New Roman"/>
                <w:b/>
                <w:bCs/>
                <w:sz w:val="24"/>
                <w:szCs w:val="24"/>
              </w:rPr>
              <w:t>Matériau</w:t>
            </w:r>
          </w:p>
        </w:tc>
        <w:tc>
          <w:tcPr>
            <w:tcW w:w="239" w:type="dxa"/>
            <w:tcBorders>
              <w:bottom w:val="single" w:sz="12" w:space="0" w:color="000000"/>
              <w:right w:val="single" w:sz="4" w:space="0" w:color="auto"/>
            </w:tcBorders>
          </w:tcPr>
          <w:p w:rsidR="002702C0" w:rsidRDefault="002702C0" w:rsidP="002702C0">
            <w:pPr>
              <w:spacing w:before="120" w:after="120" w:line="360" w:lineRule="auto"/>
              <w:ind w:left="-633"/>
              <w:jc w:val="center"/>
              <w:rPr>
                <w:rFonts w:ascii="Times New Roman" w:hAnsi="Times New Roman"/>
                <w:b/>
                <w:bCs/>
                <w:sz w:val="24"/>
                <w:szCs w:val="24"/>
              </w:rPr>
            </w:pPr>
          </w:p>
          <w:p w:rsidR="002702C0" w:rsidRDefault="002702C0" w:rsidP="002702C0">
            <w:pPr>
              <w:spacing w:before="120" w:after="120" w:line="360" w:lineRule="auto"/>
              <w:jc w:val="center"/>
              <w:rPr>
                <w:rFonts w:ascii="Times New Roman" w:hAnsi="Times New Roman"/>
                <w:b/>
                <w:bCs/>
                <w:sz w:val="24"/>
                <w:szCs w:val="24"/>
              </w:rPr>
            </w:pPr>
          </w:p>
        </w:tc>
        <w:tc>
          <w:tcPr>
            <w:tcW w:w="802" w:type="dxa"/>
            <w:tcBorders>
              <w:left w:val="single" w:sz="4" w:space="0" w:color="auto"/>
              <w:bottom w:val="single" w:sz="12" w:space="0" w:color="000000"/>
            </w:tcBorders>
          </w:tcPr>
          <w:p w:rsidR="002702C0" w:rsidRDefault="002702C0" w:rsidP="002702C0">
            <w:pPr>
              <w:spacing w:before="120" w:after="120" w:line="360" w:lineRule="auto"/>
              <w:jc w:val="center"/>
              <w:rPr>
                <w:rFonts w:ascii="Times New Roman" w:hAnsi="Times New Roman"/>
                <w:b/>
                <w:bCs/>
                <w:sz w:val="24"/>
                <w:szCs w:val="24"/>
              </w:rPr>
            </w:pPr>
            <w:r>
              <w:rPr>
                <w:rFonts w:ascii="Times New Roman" w:hAnsi="Times New Roman"/>
                <w:b/>
                <w:bCs/>
                <w:sz w:val="24"/>
                <w:szCs w:val="24"/>
              </w:rPr>
              <w:t xml:space="preserve">Gap </w:t>
            </w:r>
          </w:p>
          <w:p w:rsidR="002702C0" w:rsidRDefault="002702C0" w:rsidP="002702C0">
            <w:pPr>
              <w:spacing w:before="120" w:after="120" w:line="360" w:lineRule="auto"/>
              <w:jc w:val="center"/>
              <w:rPr>
                <w:rFonts w:ascii="Times New Roman" w:hAnsi="Times New Roman"/>
                <w:b/>
                <w:bCs/>
                <w:sz w:val="24"/>
                <w:szCs w:val="24"/>
              </w:rPr>
            </w:pPr>
            <w:r>
              <w:rPr>
                <w:rFonts w:ascii="Times New Roman" w:hAnsi="Times New Roman"/>
                <w:b/>
                <w:bCs/>
                <w:sz w:val="24"/>
                <w:szCs w:val="24"/>
              </w:rPr>
              <w:t>(eV)</w:t>
            </w:r>
          </w:p>
        </w:tc>
        <w:tc>
          <w:tcPr>
            <w:tcW w:w="239" w:type="dxa"/>
            <w:tcBorders>
              <w:left w:val="single" w:sz="4" w:space="0" w:color="auto"/>
              <w:bottom w:val="single" w:sz="12" w:space="0" w:color="000000"/>
            </w:tcBorders>
          </w:tcPr>
          <w:p w:rsidR="002702C0" w:rsidRDefault="002702C0">
            <w:pPr>
              <w:rPr>
                <w:rFonts w:ascii="Times New Roman" w:hAnsi="Times New Roman"/>
                <w:b/>
                <w:bCs/>
                <w:sz w:val="24"/>
                <w:szCs w:val="24"/>
              </w:rPr>
            </w:pPr>
            <w:r>
              <w:rPr>
                <w:rFonts w:ascii="Times New Roman" w:hAnsi="Times New Roman"/>
                <w:b/>
                <w:bCs/>
                <w:sz w:val="24"/>
                <w:szCs w:val="24"/>
              </w:rPr>
              <w:t xml:space="preserve"> </w:t>
            </w:r>
          </w:p>
          <w:p w:rsidR="002702C0" w:rsidRDefault="002702C0" w:rsidP="002702C0">
            <w:pPr>
              <w:spacing w:before="120" w:after="120" w:line="360" w:lineRule="auto"/>
              <w:jc w:val="center"/>
              <w:rPr>
                <w:rFonts w:ascii="Times New Roman" w:hAnsi="Times New Roman"/>
                <w:b/>
                <w:bCs/>
                <w:sz w:val="24"/>
                <w:szCs w:val="24"/>
              </w:rPr>
            </w:pPr>
          </w:p>
        </w:tc>
        <w:tc>
          <w:tcPr>
            <w:tcW w:w="2364" w:type="dxa"/>
            <w:tcBorders>
              <w:bottom w:val="single" w:sz="12" w:space="0" w:color="000000"/>
              <w:right w:val="single" w:sz="4" w:space="0" w:color="auto"/>
            </w:tcBorders>
          </w:tcPr>
          <w:p w:rsidR="002702C0" w:rsidRDefault="002702C0" w:rsidP="002702C0">
            <w:pPr>
              <w:spacing w:before="120" w:after="120" w:line="360" w:lineRule="auto"/>
              <w:ind w:left="-401" w:right="-250" w:firstLine="141"/>
              <w:rPr>
                <w:rFonts w:ascii="Times New Roman" w:hAnsi="Times New Roman"/>
                <w:b/>
                <w:bCs/>
                <w:sz w:val="24"/>
                <w:szCs w:val="24"/>
              </w:rPr>
            </w:pPr>
            <w:r>
              <w:rPr>
                <w:rFonts w:ascii="Times New Roman" w:hAnsi="Times New Roman"/>
                <w:b/>
                <w:bCs/>
                <w:sz w:val="24"/>
                <w:szCs w:val="24"/>
              </w:rPr>
              <w:t xml:space="preserve">     Rendement théorique</w:t>
            </w:r>
          </w:p>
          <w:p w:rsidR="002702C0" w:rsidRDefault="002702C0" w:rsidP="002702C0">
            <w:pPr>
              <w:spacing w:before="120" w:after="120" w:line="360" w:lineRule="auto"/>
              <w:jc w:val="center"/>
              <w:rPr>
                <w:rFonts w:ascii="Times New Roman" w:hAnsi="Times New Roman"/>
                <w:b/>
                <w:bCs/>
                <w:sz w:val="24"/>
                <w:szCs w:val="24"/>
              </w:rPr>
            </w:pPr>
            <w:r>
              <w:rPr>
                <w:rFonts w:ascii="Times New Roman" w:hAnsi="Times New Roman"/>
                <w:b/>
                <w:bCs/>
                <w:sz w:val="24"/>
                <w:szCs w:val="24"/>
              </w:rPr>
              <w:t>η (%)</w:t>
            </w:r>
          </w:p>
        </w:tc>
        <w:tc>
          <w:tcPr>
            <w:tcW w:w="239" w:type="dxa"/>
            <w:tcBorders>
              <w:left w:val="single" w:sz="4" w:space="0" w:color="auto"/>
              <w:bottom w:val="single" w:sz="12" w:space="0" w:color="000000"/>
            </w:tcBorders>
          </w:tcPr>
          <w:p w:rsidR="002702C0" w:rsidRDefault="002702C0" w:rsidP="002702C0">
            <w:pPr>
              <w:spacing w:before="120" w:after="120" w:line="360" w:lineRule="auto"/>
              <w:jc w:val="center"/>
              <w:rPr>
                <w:rFonts w:ascii="Times New Roman" w:hAnsi="Times New Roman"/>
                <w:b/>
                <w:bCs/>
                <w:sz w:val="24"/>
                <w:szCs w:val="24"/>
              </w:rPr>
            </w:pPr>
          </w:p>
        </w:tc>
        <w:tc>
          <w:tcPr>
            <w:tcW w:w="2307" w:type="dxa"/>
            <w:tcBorders>
              <w:bottom w:val="single" w:sz="12" w:space="0" w:color="000000"/>
              <w:right w:val="single" w:sz="4" w:space="0" w:color="auto"/>
            </w:tcBorders>
          </w:tcPr>
          <w:p w:rsidR="002702C0" w:rsidRDefault="002702C0" w:rsidP="002702C0">
            <w:pPr>
              <w:pStyle w:val="5ligneCar"/>
              <w:spacing w:before="120" w:after="120" w:line="360" w:lineRule="auto"/>
              <w:ind w:left="-202"/>
              <w:rPr>
                <w:rFonts w:eastAsia="Calibri"/>
                <w:lang w:eastAsia="en-US"/>
              </w:rPr>
            </w:pPr>
            <w:r>
              <w:rPr>
                <w:rFonts w:eastAsia="Calibri"/>
                <w:lang w:eastAsia="en-US"/>
              </w:rPr>
              <w:t>Rendement expérimental η (%)</w:t>
            </w:r>
          </w:p>
        </w:tc>
        <w:tc>
          <w:tcPr>
            <w:tcW w:w="325" w:type="dxa"/>
            <w:tcBorders>
              <w:left w:val="single" w:sz="4" w:space="0" w:color="auto"/>
              <w:bottom w:val="single" w:sz="12" w:space="0" w:color="000000"/>
            </w:tcBorders>
          </w:tcPr>
          <w:p w:rsidR="002702C0" w:rsidRDefault="002702C0">
            <w:pPr>
              <w:rPr>
                <w:rFonts w:ascii="Times New Roman" w:eastAsia="Calibri" w:hAnsi="Times New Roman" w:cs="Times New Roman"/>
                <w:b/>
                <w:bCs/>
                <w:sz w:val="24"/>
                <w:szCs w:val="24"/>
              </w:rPr>
            </w:pPr>
          </w:p>
          <w:p w:rsidR="002702C0" w:rsidRDefault="002702C0" w:rsidP="002702C0">
            <w:pPr>
              <w:pStyle w:val="5ligneCar"/>
              <w:spacing w:before="120" w:after="120" w:line="360" w:lineRule="auto"/>
              <w:rPr>
                <w:rFonts w:eastAsia="Calibri"/>
                <w:lang w:eastAsia="en-US"/>
              </w:rPr>
            </w:pPr>
          </w:p>
        </w:tc>
        <w:tc>
          <w:tcPr>
            <w:tcW w:w="1290" w:type="dxa"/>
            <w:tcBorders>
              <w:bottom w:val="single" w:sz="12" w:space="0" w:color="000000"/>
              <w:right w:val="single" w:sz="4" w:space="0" w:color="auto"/>
            </w:tcBorders>
          </w:tcPr>
          <w:p w:rsidR="002702C0" w:rsidRDefault="002702C0" w:rsidP="002702C0">
            <w:pPr>
              <w:spacing w:before="120" w:after="120" w:line="360" w:lineRule="auto"/>
              <w:ind w:left="-181"/>
              <w:jc w:val="center"/>
              <w:rPr>
                <w:rFonts w:ascii="Times New Roman" w:hAnsi="Times New Roman"/>
                <w:b/>
                <w:bCs/>
                <w:sz w:val="24"/>
                <w:szCs w:val="24"/>
              </w:rPr>
            </w:pPr>
            <w:r>
              <w:rPr>
                <w:rFonts w:ascii="Times New Roman" w:hAnsi="Times New Roman"/>
                <w:b/>
                <w:bCs/>
                <w:sz w:val="24"/>
                <w:szCs w:val="24"/>
              </w:rPr>
              <w:t>Référence</w:t>
            </w:r>
          </w:p>
        </w:tc>
      </w:tr>
      <w:tr w:rsidR="002702C0" w:rsidTr="002702C0">
        <w:trPr>
          <w:trHeight w:val="287"/>
        </w:trPr>
        <w:tc>
          <w:tcPr>
            <w:tcW w:w="1781" w:type="dxa"/>
            <w:tcBorders>
              <w:top w:val="single" w:sz="12" w:space="0" w:color="000000"/>
              <w:left w:val="single" w:sz="4" w:space="0" w:color="auto"/>
              <w:bottom w:val="nil"/>
              <w:right w:val="nil"/>
            </w:tcBorders>
          </w:tcPr>
          <w:p w:rsidR="002702C0" w:rsidRDefault="002702C0" w:rsidP="002702C0">
            <w:pPr>
              <w:spacing w:before="120" w:after="120" w:line="360" w:lineRule="auto"/>
              <w:rPr>
                <w:rFonts w:ascii="Times New Roman" w:hAnsi="Times New Roman"/>
                <w:sz w:val="24"/>
                <w:szCs w:val="24"/>
              </w:rPr>
            </w:pPr>
            <w:r>
              <w:rPr>
                <w:rFonts w:ascii="Times New Roman" w:hAnsi="Times New Roman"/>
                <w:sz w:val="24"/>
                <w:szCs w:val="24"/>
              </w:rPr>
              <w:t>CuInSe</w:t>
            </w:r>
            <w:r>
              <w:rPr>
                <w:rFonts w:ascii="Times New Roman" w:hAnsi="Times New Roman"/>
                <w:sz w:val="24"/>
                <w:szCs w:val="24"/>
                <w:vertAlign w:val="subscript"/>
              </w:rPr>
              <w:t>2</w:t>
            </w:r>
          </w:p>
        </w:tc>
        <w:tc>
          <w:tcPr>
            <w:tcW w:w="239" w:type="dxa"/>
            <w:tcBorders>
              <w:top w:val="single" w:sz="12" w:space="0" w:color="000000"/>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p>
        </w:tc>
        <w:tc>
          <w:tcPr>
            <w:tcW w:w="802" w:type="dxa"/>
            <w:tcBorders>
              <w:top w:val="single" w:sz="12" w:space="0" w:color="000000"/>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p>
        </w:tc>
        <w:tc>
          <w:tcPr>
            <w:tcW w:w="239" w:type="dxa"/>
            <w:tcBorders>
              <w:top w:val="single" w:sz="12" w:space="0" w:color="000000"/>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2364" w:type="dxa"/>
            <w:tcBorders>
              <w:top w:val="single" w:sz="12" w:space="0" w:color="000000"/>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p>
        </w:tc>
        <w:tc>
          <w:tcPr>
            <w:tcW w:w="239" w:type="dxa"/>
            <w:tcBorders>
              <w:top w:val="single" w:sz="12" w:space="0" w:color="000000"/>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2307" w:type="dxa"/>
            <w:tcBorders>
              <w:top w:val="single" w:sz="12" w:space="0" w:color="000000"/>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p>
        </w:tc>
        <w:tc>
          <w:tcPr>
            <w:tcW w:w="325" w:type="dxa"/>
            <w:tcBorders>
              <w:top w:val="single" w:sz="12" w:space="0" w:color="000000"/>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1290" w:type="dxa"/>
            <w:tcBorders>
              <w:top w:val="single" w:sz="12" w:space="0" w:color="000000"/>
              <w:left w:val="nil"/>
              <w:bottom w:val="nil"/>
              <w:right w:val="single" w:sz="4" w:space="0" w:color="auto"/>
            </w:tcBorders>
          </w:tcPr>
          <w:p w:rsidR="002702C0" w:rsidRPr="00816009" w:rsidRDefault="008E7B3C" w:rsidP="002702C0">
            <w:pPr>
              <w:spacing w:before="120" w:after="120" w:line="360" w:lineRule="auto"/>
              <w:jc w:val="center"/>
              <w:rPr>
                <w:rFonts w:ascii="Symbol" w:hAnsi="Symbol"/>
                <w:color w:val="000000" w:themeColor="text1"/>
                <w:sz w:val="24"/>
                <w:szCs w:val="24"/>
              </w:rPr>
            </w:pPr>
            <w:r>
              <w:rPr>
                <w:rFonts w:ascii="Times New Roman" w:hAnsi="Times New Roman"/>
                <w:color w:val="000000" w:themeColor="text1"/>
                <w:sz w:val="24"/>
                <w:szCs w:val="24"/>
              </w:rPr>
              <w:t>[56</w:t>
            </w:r>
            <w:r w:rsidR="002702C0" w:rsidRPr="00816009">
              <w:rPr>
                <w:rFonts w:ascii="Times New Roman" w:hAnsi="Times New Roman"/>
                <w:color w:val="000000" w:themeColor="text1"/>
                <w:sz w:val="24"/>
                <w:szCs w:val="24"/>
              </w:rPr>
              <w:t>]</w:t>
            </w:r>
          </w:p>
        </w:tc>
      </w:tr>
      <w:tr w:rsidR="002702C0" w:rsidTr="002702C0">
        <w:trPr>
          <w:trHeight w:val="555"/>
        </w:trPr>
        <w:tc>
          <w:tcPr>
            <w:tcW w:w="1781" w:type="dxa"/>
            <w:tcBorders>
              <w:top w:val="nil"/>
              <w:left w:val="single" w:sz="4" w:space="0" w:color="auto"/>
              <w:bottom w:val="nil"/>
              <w:right w:val="nil"/>
            </w:tcBorders>
          </w:tcPr>
          <w:p w:rsidR="002702C0" w:rsidRDefault="002702C0" w:rsidP="002702C0">
            <w:pPr>
              <w:spacing w:before="120" w:after="120" w:line="360" w:lineRule="auto"/>
              <w:rPr>
                <w:rFonts w:ascii="Times New Roman" w:hAnsi="Times New Roman"/>
                <w:sz w:val="24"/>
                <w:szCs w:val="24"/>
              </w:rPr>
            </w:pPr>
            <w:r>
              <w:rPr>
                <w:rFonts w:ascii="Times New Roman" w:hAnsi="Times New Roman"/>
                <w:sz w:val="24"/>
                <w:szCs w:val="24"/>
              </w:rPr>
              <w:t>CuIn</w:t>
            </w:r>
            <w:r>
              <w:rPr>
                <w:rFonts w:ascii="Times New Roman" w:hAnsi="Times New Roman"/>
                <w:sz w:val="24"/>
                <w:szCs w:val="24"/>
                <w:vertAlign w:val="subscript"/>
              </w:rPr>
              <w:t>O,7</w:t>
            </w:r>
            <w:r>
              <w:rPr>
                <w:rFonts w:ascii="Times New Roman" w:hAnsi="Times New Roman"/>
                <w:sz w:val="24"/>
                <w:szCs w:val="24"/>
              </w:rPr>
              <w:t>Ga</w:t>
            </w:r>
            <w:r>
              <w:rPr>
                <w:rFonts w:ascii="Times New Roman" w:hAnsi="Times New Roman"/>
                <w:sz w:val="24"/>
                <w:szCs w:val="24"/>
                <w:vertAlign w:val="subscript"/>
              </w:rPr>
              <w:t>O,3</w:t>
            </w:r>
            <w:r>
              <w:rPr>
                <w:rFonts w:ascii="Times New Roman" w:hAnsi="Times New Roman"/>
                <w:sz w:val="24"/>
                <w:szCs w:val="24"/>
              </w:rPr>
              <w:t>Se</w:t>
            </w:r>
            <w:r>
              <w:rPr>
                <w:rFonts w:ascii="Times New Roman" w:hAnsi="Times New Roman"/>
                <w:sz w:val="24"/>
                <w:szCs w:val="24"/>
                <w:vertAlign w:val="subscript"/>
              </w:rPr>
              <w:t>2</w:t>
            </w:r>
          </w:p>
        </w:tc>
        <w:tc>
          <w:tcPr>
            <w:tcW w:w="239" w:type="dxa"/>
            <w:tcBorders>
              <w:top w:val="nil"/>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p>
        </w:tc>
        <w:tc>
          <w:tcPr>
            <w:tcW w:w="802" w:type="dxa"/>
            <w:tcBorders>
              <w:top w:val="nil"/>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p>
        </w:tc>
        <w:tc>
          <w:tcPr>
            <w:tcW w:w="239" w:type="dxa"/>
            <w:tcBorders>
              <w:top w:val="nil"/>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2364" w:type="dxa"/>
            <w:tcBorders>
              <w:top w:val="nil"/>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p>
        </w:tc>
        <w:tc>
          <w:tcPr>
            <w:tcW w:w="239" w:type="dxa"/>
            <w:tcBorders>
              <w:top w:val="nil"/>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2307" w:type="dxa"/>
            <w:tcBorders>
              <w:top w:val="nil"/>
              <w:left w:val="nil"/>
              <w:bottom w:val="nil"/>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p>
        </w:tc>
        <w:tc>
          <w:tcPr>
            <w:tcW w:w="325" w:type="dxa"/>
            <w:tcBorders>
              <w:top w:val="nil"/>
              <w:left w:val="single" w:sz="4" w:space="0" w:color="auto"/>
              <w:bottom w:val="nil"/>
              <w:right w:val="nil"/>
            </w:tcBorders>
          </w:tcPr>
          <w:p w:rsidR="002702C0" w:rsidRDefault="002702C0" w:rsidP="002702C0">
            <w:pPr>
              <w:spacing w:before="120" w:after="120" w:line="360" w:lineRule="auto"/>
              <w:jc w:val="center"/>
              <w:rPr>
                <w:rFonts w:ascii="Symbol" w:hAnsi="Symbol"/>
                <w:sz w:val="24"/>
                <w:szCs w:val="24"/>
              </w:rPr>
            </w:pPr>
          </w:p>
        </w:tc>
        <w:tc>
          <w:tcPr>
            <w:tcW w:w="1290" w:type="dxa"/>
            <w:tcBorders>
              <w:top w:val="nil"/>
              <w:left w:val="nil"/>
              <w:bottom w:val="nil"/>
              <w:right w:val="single" w:sz="4" w:space="0" w:color="auto"/>
            </w:tcBorders>
          </w:tcPr>
          <w:p w:rsidR="002702C0" w:rsidRPr="00816009" w:rsidRDefault="008E7B3C" w:rsidP="002702C0">
            <w:pPr>
              <w:spacing w:before="120" w:after="120" w:line="360" w:lineRule="auto"/>
              <w:jc w:val="center"/>
              <w:rPr>
                <w:rFonts w:ascii="Symbol" w:hAnsi="Symbol"/>
                <w:color w:val="000000" w:themeColor="text1"/>
                <w:sz w:val="24"/>
                <w:szCs w:val="24"/>
              </w:rPr>
            </w:pPr>
            <w:r>
              <w:rPr>
                <w:rFonts w:ascii="Times New Roman" w:hAnsi="Times New Roman"/>
                <w:color w:val="000000" w:themeColor="text1"/>
                <w:sz w:val="24"/>
                <w:szCs w:val="24"/>
              </w:rPr>
              <w:t>[57</w:t>
            </w:r>
            <w:r w:rsidR="002702C0" w:rsidRPr="00816009">
              <w:rPr>
                <w:rFonts w:ascii="Times New Roman" w:hAnsi="Times New Roman"/>
                <w:color w:val="000000" w:themeColor="text1"/>
                <w:sz w:val="24"/>
                <w:szCs w:val="24"/>
              </w:rPr>
              <w:t>]</w:t>
            </w:r>
          </w:p>
        </w:tc>
      </w:tr>
      <w:tr w:rsidR="002702C0" w:rsidTr="002702C0">
        <w:trPr>
          <w:trHeight w:val="365"/>
        </w:trPr>
        <w:tc>
          <w:tcPr>
            <w:tcW w:w="1781" w:type="dxa"/>
            <w:tcBorders>
              <w:top w:val="nil"/>
              <w:left w:val="single" w:sz="4" w:space="0" w:color="auto"/>
              <w:bottom w:val="single" w:sz="12" w:space="0" w:color="000000"/>
              <w:right w:val="nil"/>
            </w:tcBorders>
          </w:tcPr>
          <w:p w:rsidR="002702C0" w:rsidRDefault="002702C0" w:rsidP="002702C0">
            <w:pPr>
              <w:spacing w:before="120" w:after="120" w:line="360" w:lineRule="auto"/>
              <w:rPr>
                <w:rFonts w:ascii="Times New Roman" w:hAnsi="Times New Roman"/>
                <w:sz w:val="24"/>
                <w:szCs w:val="24"/>
              </w:rPr>
            </w:pPr>
            <w:r>
              <w:rPr>
                <w:rFonts w:ascii="Times New Roman" w:hAnsi="Times New Roman"/>
                <w:sz w:val="24"/>
                <w:szCs w:val="24"/>
              </w:rPr>
              <w:t>CuGaSe</w:t>
            </w:r>
            <w:r>
              <w:rPr>
                <w:rFonts w:ascii="Times New Roman" w:hAnsi="Times New Roman"/>
                <w:sz w:val="24"/>
                <w:szCs w:val="24"/>
                <w:vertAlign w:val="subscript"/>
              </w:rPr>
              <w:t>2</w:t>
            </w:r>
          </w:p>
        </w:tc>
        <w:tc>
          <w:tcPr>
            <w:tcW w:w="239" w:type="dxa"/>
            <w:tcBorders>
              <w:top w:val="nil"/>
              <w:left w:val="nil"/>
              <w:bottom w:val="single" w:sz="12" w:space="0" w:color="000000"/>
              <w:right w:val="single" w:sz="4" w:space="0" w:color="auto"/>
            </w:tcBorders>
          </w:tcPr>
          <w:p w:rsidR="002702C0" w:rsidRDefault="002702C0" w:rsidP="002702C0">
            <w:pPr>
              <w:spacing w:before="120" w:after="120" w:line="360" w:lineRule="auto"/>
              <w:jc w:val="center"/>
              <w:rPr>
                <w:rFonts w:ascii="Symbol" w:hAnsi="Symbol"/>
                <w:sz w:val="24"/>
                <w:szCs w:val="24"/>
              </w:rPr>
            </w:pPr>
          </w:p>
        </w:tc>
        <w:tc>
          <w:tcPr>
            <w:tcW w:w="802" w:type="dxa"/>
            <w:tcBorders>
              <w:top w:val="nil"/>
              <w:left w:val="single" w:sz="4" w:space="0" w:color="auto"/>
              <w:bottom w:val="single" w:sz="12" w:space="0" w:color="000000"/>
              <w:right w:val="nil"/>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p>
        </w:tc>
        <w:tc>
          <w:tcPr>
            <w:tcW w:w="239" w:type="dxa"/>
            <w:tcBorders>
              <w:top w:val="nil"/>
              <w:left w:val="single" w:sz="4" w:space="0" w:color="auto"/>
              <w:bottom w:val="single" w:sz="12" w:space="0" w:color="000000"/>
              <w:right w:val="nil"/>
            </w:tcBorders>
          </w:tcPr>
          <w:p w:rsidR="002702C0" w:rsidRDefault="002702C0" w:rsidP="002702C0">
            <w:pPr>
              <w:spacing w:before="120" w:after="120" w:line="360" w:lineRule="auto"/>
              <w:jc w:val="center"/>
              <w:rPr>
                <w:rFonts w:ascii="Symbol" w:hAnsi="Symbol"/>
                <w:sz w:val="24"/>
                <w:szCs w:val="24"/>
              </w:rPr>
            </w:pPr>
          </w:p>
        </w:tc>
        <w:tc>
          <w:tcPr>
            <w:tcW w:w="2364" w:type="dxa"/>
            <w:tcBorders>
              <w:top w:val="nil"/>
              <w:left w:val="nil"/>
              <w:bottom w:val="single" w:sz="12" w:space="0" w:color="000000"/>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p>
        </w:tc>
        <w:tc>
          <w:tcPr>
            <w:tcW w:w="239" w:type="dxa"/>
            <w:tcBorders>
              <w:top w:val="nil"/>
              <w:left w:val="single" w:sz="4" w:space="0" w:color="auto"/>
              <w:bottom w:val="single" w:sz="12" w:space="0" w:color="000000"/>
              <w:right w:val="nil"/>
            </w:tcBorders>
          </w:tcPr>
          <w:p w:rsidR="002702C0" w:rsidRDefault="002702C0" w:rsidP="002702C0">
            <w:pPr>
              <w:spacing w:before="120" w:after="120" w:line="360" w:lineRule="auto"/>
              <w:jc w:val="center"/>
              <w:rPr>
                <w:rFonts w:ascii="Symbol" w:hAnsi="Symbol"/>
                <w:sz w:val="24"/>
                <w:szCs w:val="24"/>
              </w:rPr>
            </w:pPr>
          </w:p>
        </w:tc>
        <w:tc>
          <w:tcPr>
            <w:tcW w:w="2307" w:type="dxa"/>
            <w:tcBorders>
              <w:top w:val="nil"/>
              <w:left w:val="nil"/>
              <w:bottom w:val="single" w:sz="12" w:space="0" w:color="000000"/>
              <w:right w:val="single" w:sz="4" w:space="0" w:color="auto"/>
            </w:tcBorders>
          </w:tcPr>
          <w:p w:rsidR="002702C0" w:rsidRDefault="002702C0" w:rsidP="002702C0">
            <w:pPr>
              <w:spacing w:before="120" w:after="120" w:line="360" w:lineRule="auto"/>
              <w:jc w:val="center"/>
              <w:rPr>
                <w:rFonts w:ascii="Symbol" w:hAnsi="Symbol"/>
                <w:sz w:val="24"/>
                <w:szCs w:val="24"/>
              </w:rPr>
            </w:pPr>
            <w:r>
              <w:rPr>
                <w:rFonts w:ascii="Symbol" w:hAnsi="Symbol"/>
                <w:sz w:val="24"/>
                <w:szCs w:val="24"/>
              </w:rPr>
              <w:t></w:t>
            </w:r>
            <w:r>
              <w:rPr>
                <w:rFonts w:ascii="Symbol" w:hAnsi="Symbol"/>
                <w:sz w:val="24"/>
                <w:szCs w:val="24"/>
              </w:rPr>
              <w:t></w:t>
            </w:r>
            <w:r>
              <w:rPr>
                <w:rFonts w:ascii="Symbol" w:hAnsi="Symbol"/>
                <w:sz w:val="24"/>
                <w:szCs w:val="24"/>
              </w:rPr>
              <w:t></w:t>
            </w:r>
          </w:p>
        </w:tc>
        <w:tc>
          <w:tcPr>
            <w:tcW w:w="325" w:type="dxa"/>
            <w:tcBorders>
              <w:top w:val="nil"/>
              <w:left w:val="single" w:sz="4" w:space="0" w:color="auto"/>
              <w:bottom w:val="single" w:sz="12" w:space="0" w:color="000000"/>
              <w:right w:val="nil"/>
            </w:tcBorders>
          </w:tcPr>
          <w:p w:rsidR="002702C0" w:rsidRDefault="002702C0" w:rsidP="002702C0">
            <w:pPr>
              <w:spacing w:before="120" w:after="120" w:line="360" w:lineRule="auto"/>
              <w:jc w:val="center"/>
              <w:rPr>
                <w:rFonts w:ascii="Symbol" w:hAnsi="Symbol"/>
                <w:sz w:val="24"/>
                <w:szCs w:val="24"/>
              </w:rPr>
            </w:pPr>
          </w:p>
        </w:tc>
        <w:tc>
          <w:tcPr>
            <w:tcW w:w="1290" w:type="dxa"/>
            <w:tcBorders>
              <w:top w:val="nil"/>
              <w:left w:val="nil"/>
              <w:bottom w:val="single" w:sz="12" w:space="0" w:color="000000"/>
              <w:right w:val="single" w:sz="4" w:space="0" w:color="auto"/>
            </w:tcBorders>
          </w:tcPr>
          <w:p w:rsidR="002702C0" w:rsidRPr="00816009" w:rsidRDefault="008E7B3C" w:rsidP="002702C0">
            <w:pPr>
              <w:spacing w:before="120" w:after="120" w:line="360" w:lineRule="auto"/>
              <w:jc w:val="center"/>
              <w:rPr>
                <w:rFonts w:ascii="Symbol" w:hAnsi="Symbol"/>
                <w:color w:val="000000" w:themeColor="text1"/>
                <w:sz w:val="24"/>
                <w:szCs w:val="24"/>
              </w:rPr>
            </w:pPr>
            <w:r>
              <w:rPr>
                <w:rFonts w:ascii="Times New Roman" w:hAnsi="Times New Roman"/>
                <w:color w:val="000000" w:themeColor="text1"/>
                <w:sz w:val="24"/>
                <w:szCs w:val="24"/>
              </w:rPr>
              <w:t>[56</w:t>
            </w:r>
            <w:r w:rsidR="002702C0" w:rsidRPr="00816009">
              <w:rPr>
                <w:rFonts w:ascii="Times New Roman" w:hAnsi="Times New Roman"/>
                <w:color w:val="000000" w:themeColor="text1"/>
                <w:sz w:val="24"/>
                <w:szCs w:val="24"/>
              </w:rPr>
              <w:t>]</w:t>
            </w:r>
          </w:p>
        </w:tc>
      </w:tr>
    </w:tbl>
    <w:p w:rsidR="00A434A7" w:rsidRDefault="00111D80" w:rsidP="00A434A7">
      <w:pPr>
        <w:pStyle w:val="ab"/>
        <w:spacing w:after="0" w:line="360" w:lineRule="auto"/>
        <w:jc w:val="center"/>
        <w:rPr>
          <w:b w:val="0"/>
          <w:bCs/>
          <w:color w:val="000000"/>
          <w:sz w:val="24"/>
          <w:szCs w:val="24"/>
        </w:rPr>
      </w:pPr>
      <w:r w:rsidRPr="00816009">
        <w:rPr>
          <w:color w:val="000000" w:themeColor="text1"/>
          <w:sz w:val="24"/>
          <w:szCs w:val="24"/>
        </w:rPr>
        <w:t xml:space="preserve">Tableau </w:t>
      </w:r>
      <w:r w:rsidR="005913EC" w:rsidRPr="00D70296">
        <w:rPr>
          <w:rFonts w:asciiTheme="majorBidi" w:hAnsiTheme="majorBidi" w:cstheme="majorBidi"/>
          <w:bCs/>
          <w:sz w:val="24"/>
          <w:szCs w:val="24"/>
        </w:rPr>
        <w:t>II</w:t>
      </w:r>
      <w:r w:rsidR="005913EC">
        <w:rPr>
          <w:color w:val="000000" w:themeColor="text1"/>
          <w:sz w:val="24"/>
          <w:szCs w:val="24"/>
        </w:rPr>
        <w:t>.</w:t>
      </w:r>
      <w:r w:rsidRPr="00816009">
        <w:rPr>
          <w:color w:val="000000" w:themeColor="text1"/>
          <w:sz w:val="24"/>
          <w:szCs w:val="24"/>
        </w:rPr>
        <w:t xml:space="preserve">2 : </w:t>
      </w:r>
      <w:r w:rsidRPr="00816009">
        <w:rPr>
          <w:b w:val="0"/>
          <w:bCs/>
          <w:color w:val="000000" w:themeColor="text1"/>
          <w:sz w:val="24"/>
          <w:szCs w:val="24"/>
        </w:rPr>
        <w:t>Rendements théoriques et expérimentaux affichés pour les cellules solaires à base</w:t>
      </w:r>
      <w:r>
        <w:rPr>
          <w:b w:val="0"/>
          <w:bCs/>
          <w:color w:val="000000"/>
          <w:sz w:val="24"/>
          <w:szCs w:val="24"/>
        </w:rPr>
        <w:t xml:space="preserve"> de  Cu-chalcopyrite.</w:t>
      </w:r>
    </w:p>
    <w:p w:rsidR="00111D80" w:rsidRPr="00A434A7" w:rsidRDefault="00111D80" w:rsidP="00A434A7">
      <w:pPr>
        <w:pStyle w:val="ab"/>
        <w:spacing w:before="240" w:after="0" w:line="360" w:lineRule="auto"/>
        <w:rPr>
          <w:b w:val="0"/>
          <w:bCs/>
          <w:color w:val="000000"/>
          <w:sz w:val="24"/>
          <w:szCs w:val="24"/>
        </w:rPr>
      </w:pPr>
      <w:r>
        <w:rPr>
          <w:rFonts w:eastAsia="Times New Roman"/>
          <w:sz w:val="24"/>
          <w:szCs w:val="24"/>
        </w:rPr>
        <w:t>II.</w:t>
      </w:r>
      <w:r w:rsidR="009D479F">
        <w:rPr>
          <w:rFonts w:eastAsia="Times New Roman"/>
          <w:sz w:val="24"/>
          <w:szCs w:val="24"/>
        </w:rPr>
        <w:t>7</w:t>
      </w:r>
      <w:r>
        <w:rPr>
          <w:rFonts w:eastAsia="Times New Roman"/>
          <w:sz w:val="24"/>
          <w:szCs w:val="24"/>
        </w:rPr>
        <w:t xml:space="preserve">. </w:t>
      </w:r>
      <w:r w:rsidR="009D479F">
        <w:rPr>
          <w:rFonts w:eastAsia="Times New Roman"/>
          <w:sz w:val="24"/>
          <w:szCs w:val="24"/>
        </w:rPr>
        <w:t>PROPRI</w:t>
      </w:r>
      <w:r w:rsidR="00476481">
        <w:rPr>
          <w:rFonts w:eastAsia="Times New Roman"/>
          <w:sz w:val="24"/>
          <w:szCs w:val="24"/>
        </w:rPr>
        <w:t>ÉTÉS ÉLECTRIQUES</w:t>
      </w:r>
      <w:r>
        <w:rPr>
          <w:rFonts w:eastAsia="Times New Roman"/>
          <w:sz w:val="24"/>
          <w:szCs w:val="24"/>
        </w:rPr>
        <w:t xml:space="preserve"> </w:t>
      </w:r>
    </w:p>
    <w:p w:rsidR="00111D80" w:rsidRDefault="00111D80" w:rsidP="00A434A7">
      <w:pPr>
        <w:autoSpaceDE w:val="0"/>
        <w:autoSpaceDN w:val="0"/>
        <w:adjustRightInd w:val="0"/>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Tout écart à la périodicité du réseau ou à la structure est un défaut. Les défauts ponctuels usuels sont les impuretés, les sites vacants du réseau (lacune) et les atomes en excès placés en dehors des positions normales du réseau (interstitiels). </w:t>
      </w:r>
    </w:p>
    <w:p w:rsidR="00111D80" w:rsidRDefault="00111D80" w:rsidP="00A434A7">
      <w:pPr>
        <w:autoSpaceDE w:val="0"/>
        <w:autoSpaceDN w:val="0"/>
        <w:adjustRightInd w:val="0"/>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Les propriétés des matériaux </w:t>
      </w:r>
      <w:r w:rsidR="002F3B84">
        <w:rPr>
          <w:rFonts w:ascii="Times New Roman" w:hAnsi="Times New Roman"/>
          <w:sz w:val="24"/>
          <w:szCs w:val="24"/>
        </w:rPr>
        <w:t>semi-conducteurs</w:t>
      </w:r>
      <w:r>
        <w:rPr>
          <w:rFonts w:ascii="Times New Roman" w:hAnsi="Times New Roman"/>
          <w:sz w:val="24"/>
          <w:szCs w:val="24"/>
        </w:rPr>
        <w:t xml:space="preserve"> sont fortement influencées par les impuretés ou les défauts. Ces derniers sont généralement introduits intentionnellement pour </w:t>
      </w:r>
      <w:r>
        <w:rPr>
          <w:rFonts w:ascii="Times New Roman" w:hAnsi="Times New Roman"/>
          <w:sz w:val="24"/>
          <w:szCs w:val="24"/>
        </w:rPr>
        <w:lastRenderedPageBreak/>
        <w:t>assurer une bonne conductivité électrique ou de manières non intentionnelles telles que les défauts intrinsèques et les impuretés résiduelles</w:t>
      </w:r>
      <w:r>
        <w:rPr>
          <w:rFonts w:ascii="Times New Roman" w:eastAsia="Times New Roman" w:hAnsi="Times New Roman"/>
          <w:sz w:val="24"/>
          <w:szCs w:val="24"/>
        </w:rPr>
        <w:t>.</w:t>
      </w:r>
      <w:r>
        <w:rPr>
          <w:rFonts w:ascii="Times New Roman" w:hAnsi="Times New Roman"/>
          <w:sz w:val="24"/>
          <w:szCs w:val="24"/>
        </w:rPr>
        <w:t xml:space="preserve"> </w:t>
      </w:r>
    </w:p>
    <w:p w:rsidR="00111D80" w:rsidRDefault="00111D80" w:rsidP="00A434A7">
      <w:pPr>
        <w:autoSpaceDE w:val="0"/>
        <w:autoSpaceDN w:val="0"/>
        <w:adjustRightInd w:val="0"/>
        <w:spacing w:before="120" w:after="0" w:line="360" w:lineRule="auto"/>
        <w:ind w:firstLine="567"/>
        <w:jc w:val="both"/>
        <w:rPr>
          <w:rFonts w:ascii="Times New Roman" w:hAnsi="Times New Roman"/>
          <w:sz w:val="24"/>
          <w:szCs w:val="24"/>
        </w:rPr>
      </w:pPr>
      <w:r>
        <w:rPr>
          <w:rFonts w:ascii="Times New Roman" w:hAnsi="Times New Roman"/>
          <w:sz w:val="24"/>
          <w:szCs w:val="24"/>
        </w:rPr>
        <w:t xml:space="preserve">La nature des défauts usuels pour certains solides est assez bien connue. Beaucoup de propriétés importantes des solides sont déterminées autant par les défauts que par la nature du cristal, qui ne peut intervenir qu’en tant que matrice pour ces défauts. La conductivité pour certains </w:t>
      </w:r>
      <w:r w:rsidR="002F3B84">
        <w:rPr>
          <w:rFonts w:ascii="Times New Roman" w:hAnsi="Times New Roman"/>
          <w:sz w:val="24"/>
          <w:szCs w:val="24"/>
        </w:rPr>
        <w:t>semi-conducteurs</w:t>
      </w:r>
      <w:r>
        <w:rPr>
          <w:rFonts w:ascii="Times New Roman" w:hAnsi="Times New Roman"/>
          <w:sz w:val="24"/>
          <w:szCs w:val="24"/>
        </w:rPr>
        <w:t xml:space="preserve"> peut être entièrement due aux défauts chimiques présents dans le cristal.</w:t>
      </w:r>
    </w:p>
    <w:p w:rsidR="00111D80" w:rsidRDefault="00111D80" w:rsidP="00A434A7">
      <w:pPr>
        <w:spacing w:before="120" w:after="0" w:line="360" w:lineRule="auto"/>
        <w:ind w:firstLine="567"/>
        <w:jc w:val="both"/>
        <w:rPr>
          <w:rFonts w:ascii="Times New Roman" w:eastAsia="Times New Roman" w:hAnsi="Times New Roman"/>
          <w:sz w:val="24"/>
          <w:szCs w:val="24"/>
        </w:rPr>
      </w:pPr>
      <w:r>
        <w:rPr>
          <w:rFonts w:ascii="Times New Roman" w:eastAsia="Times New Roman" w:hAnsi="Times New Roman"/>
          <w:sz w:val="24"/>
          <w:szCs w:val="24"/>
        </w:rPr>
        <w:t>Les impuretés et les défauts introduisent des niveaux énergétiques permis dans la bande interdite et peuvent être soit superficiels (proche d’un extremum de l’une des bandes) ou profonds. Ces derniers sont le siège des recombinaisons et de piégeage des photo-porteurs. Ce sont des centres avec des effets néfastes sur le rendement de la cellule. Il est alors nécessaire de contrôler l’opération de dopage pour la couche active CIGS.</w:t>
      </w:r>
    </w:p>
    <w:p w:rsidR="00EB591A" w:rsidRPr="00816009" w:rsidRDefault="00111D80" w:rsidP="00A434A7">
      <w:pPr>
        <w:spacing w:before="120" w:after="0" w:line="360" w:lineRule="auto"/>
        <w:ind w:firstLine="567"/>
        <w:jc w:val="both"/>
        <w:rPr>
          <w:rFonts w:ascii="Times New Roman" w:hAnsi="Times New Roman"/>
          <w:color w:val="000000" w:themeColor="text1"/>
          <w:sz w:val="24"/>
          <w:szCs w:val="24"/>
        </w:rPr>
      </w:pPr>
      <w:r>
        <w:rPr>
          <w:rFonts w:ascii="Times New Roman" w:eastAsia="Times New Roman" w:hAnsi="Times New Roman"/>
          <w:sz w:val="24"/>
          <w:szCs w:val="24"/>
        </w:rPr>
        <w:t>L'introduction de défauts dans les matériaux CIGS est possible sans avoir recours à des atomes étrangers. En effet</w:t>
      </w:r>
      <w:r w:rsidRPr="00855F6C">
        <w:rPr>
          <w:rFonts w:ascii="Times New Roman" w:eastAsia="Times New Roman" w:hAnsi="Times New Roman"/>
          <w:sz w:val="24"/>
          <w:szCs w:val="24"/>
        </w:rPr>
        <w:t xml:space="preserve">, </w:t>
      </w:r>
      <w:r>
        <w:rPr>
          <w:rFonts w:ascii="Times New Roman" w:eastAsia="Times New Roman" w:hAnsi="Times New Roman"/>
          <w:sz w:val="24"/>
          <w:szCs w:val="24"/>
        </w:rPr>
        <w:t xml:space="preserve">l’opération est purement intrinsèque. Ce sont les défauts intrinsèques qui sont responsables du dopage du matériau. Ils peuvent être des lacunes, des substitutions, ou des défauts complexes résultant de la présence de plusieurs types de défauts en attraction électrostatique. La formation des défauts intrinsèques est fonction des conditions de croissance.  Contrairement aux autres </w:t>
      </w:r>
      <w:r w:rsidR="002F3B84">
        <w:rPr>
          <w:rFonts w:ascii="Times New Roman" w:eastAsia="Times New Roman" w:hAnsi="Times New Roman"/>
          <w:sz w:val="24"/>
          <w:szCs w:val="24"/>
        </w:rPr>
        <w:t>semi-conducteurs</w:t>
      </w:r>
      <w:r>
        <w:rPr>
          <w:rFonts w:ascii="Times New Roman" w:eastAsia="Times New Roman" w:hAnsi="Times New Roman"/>
          <w:sz w:val="24"/>
          <w:szCs w:val="24"/>
        </w:rPr>
        <w:t xml:space="preserve"> ordinaires tels que le silicium, les matériaux CIGS présentent des propriétés électriques importantes, même sous la forme poly-cristalline, ce qui explique en partie sa forte potentialité pour la réalisation de cellules solaires à bas prix. Par ailleurs, l’écart à la stœchiométrie permet un grand nombre de possibilités de défauts qui peuvent se former et leur présence ne modifie pas les propriétés électriques. C’est l’une des particularités les plus intéressantes de ce matériau. D’ailleurs, c’est à partir de cette propriété que les matériaux CIGS sont dits à « matrice doux ». En d’autres termes, les matériaux CIGS sont trop désordonnés mais de façon que la plupart des défauts intrinsèques qui se présentent n’agissent pas comme des centres de piégeage des porteurs photo-générés. Généralement, ils sont rapidement comblés par la présence du cuivre. Vu sa grande mobilité (coefficient de diffusion, à température ambiante, est de </w:t>
      </w:r>
      <w:r w:rsidRPr="00C446DF">
        <w:rPr>
          <w:rFonts w:ascii="Times New Roman" w:eastAsia="Times New Roman" w:hAnsi="Times New Roman"/>
          <w:position w:val="-10"/>
          <w:sz w:val="24"/>
          <w:szCs w:val="24"/>
        </w:rPr>
        <w:object w:dxaOrig="1900" w:dyaOrig="360">
          <v:shape id="_x0000_i1045" type="#_x0000_t75" style="width:95.1pt;height:18.35pt" o:ole="">
            <v:imagedata r:id="rId56" o:title=""/>
          </v:shape>
          <o:OLEObject Type="Embed" ProgID="Equation.3" ShapeID="_x0000_i1045" DrawAspect="Content" ObjectID="_1305984801" r:id="rId57"/>
        </w:object>
      </w:r>
      <w:r>
        <w:rPr>
          <w:rFonts w:ascii="Times New Roman" w:eastAsia="Times New Roman" w:hAnsi="Times New Roman"/>
          <w:sz w:val="24"/>
          <w:szCs w:val="24"/>
        </w:rPr>
        <w:t xml:space="preserve"> </w:t>
      </w:r>
      <w:r w:rsidR="00C82ACA" w:rsidRPr="00816009">
        <w:rPr>
          <w:rFonts w:ascii="Times New Roman" w:eastAsia="Times New Roman" w:hAnsi="Times New Roman"/>
          <w:color w:val="000000" w:themeColor="text1"/>
          <w:sz w:val="24"/>
          <w:szCs w:val="24"/>
        </w:rPr>
        <w:fldChar w:fldCharType="begin"/>
      </w:r>
      <w:r w:rsidRPr="00816009">
        <w:rPr>
          <w:rFonts w:ascii="Times New Roman" w:eastAsia="Times New Roman" w:hAnsi="Times New Roman"/>
          <w:color w:val="000000" w:themeColor="text1"/>
          <w:sz w:val="24"/>
          <w:szCs w:val="24"/>
        </w:rPr>
        <w:instrText xml:space="preserve"> QUOTE </w:instrText>
      </w:r>
      <m:oMath>
        <m:sSup>
          <m:sSupPr>
            <m:ctrlPr>
              <w:rPr>
                <w:rFonts w:ascii="Cambria Math" w:eastAsia="Times New Roman" w:hAnsi="Cambria Math"/>
                <w:i/>
                <w:color w:val="000000" w:themeColor="text1"/>
                <w:sz w:val="26"/>
                <w:szCs w:val="26"/>
              </w:rPr>
            </m:ctrlPr>
          </m:sSupPr>
          <m:e>
            <m:r>
              <w:rPr>
                <w:rFonts w:ascii="Cambria Math" w:eastAsia="Times New Roman" w:hAnsi="Cambria Math"/>
                <w:color w:val="000000" w:themeColor="text1"/>
                <w:sz w:val="26"/>
                <w:szCs w:val="26"/>
              </w:rPr>
              <m:t>10</m:t>
            </m:r>
          </m:e>
          <m:sup>
            <m:r>
              <w:rPr>
                <w:rFonts w:ascii="Cambria Math" w:eastAsia="Times New Roman" w:hAnsi="Cambria Math"/>
                <w:color w:val="000000" w:themeColor="text1"/>
                <w:sz w:val="26"/>
                <w:szCs w:val="26"/>
              </w:rPr>
              <m:t>-13</m:t>
            </m:r>
          </m:sup>
        </m:sSup>
        <m:r>
          <w:rPr>
            <w:rFonts w:ascii="Cambria Math" w:eastAsia="Times New Roman" w:hAnsi="Cambria Math"/>
            <w:color w:val="000000" w:themeColor="text1"/>
            <w:sz w:val="26"/>
            <w:szCs w:val="26"/>
          </w:rPr>
          <m:t>-</m:t>
        </m:r>
        <m:sSup>
          <m:sSupPr>
            <m:ctrlPr>
              <w:rPr>
                <w:rFonts w:ascii="Cambria Math" w:eastAsia="Times New Roman" w:hAnsi="Cambria Math"/>
                <w:i/>
                <w:color w:val="000000" w:themeColor="text1"/>
                <w:sz w:val="26"/>
                <w:szCs w:val="26"/>
              </w:rPr>
            </m:ctrlPr>
          </m:sSupPr>
          <m:e>
            <m:r>
              <w:rPr>
                <w:rFonts w:ascii="Cambria Math" w:eastAsia="Times New Roman" w:hAnsi="Cambria Math"/>
                <w:color w:val="000000" w:themeColor="text1"/>
                <w:sz w:val="26"/>
                <w:szCs w:val="26"/>
              </w:rPr>
              <m:t>10</m:t>
            </m:r>
          </m:e>
          <m:sup>
            <m:r>
              <w:rPr>
                <w:rFonts w:ascii="Cambria Math" w:eastAsia="Times New Roman" w:hAnsi="Cambria Math"/>
                <w:color w:val="000000" w:themeColor="text1"/>
                <w:sz w:val="26"/>
                <w:szCs w:val="26"/>
              </w:rPr>
              <m:t>-10</m:t>
            </m:r>
          </m:sup>
        </m:sSup>
        <m:f>
          <m:fPr>
            <m:type m:val="lin"/>
            <m:ctrlPr>
              <w:rPr>
                <w:rFonts w:ascii="Cambria Math" w:eastAsia="Times New Roman" w:hAnsi="Cambria Math"/>
                <w:i/>
                <w:color w:val="000000" w:themeColor="text1"/>
                <w:sz w:val="26"/>
                <w:szCs w:val="26"/>
              </w:rPr>
            </m:ctrlPr>
          </m:fPr>
          <m:num>
            <m:sSup>
              <m:sSupPr>
                <m:ctrlPr>
                  <w:rPr>
                    <w:rFonts w:ascii="Cambria Math" w:eastAsia="Times New Roman" w:hAnsi="Cambria Math"/>
                    <w:i/>
                    <w:color w:val="000000" w:themeColor="text1"/>
                    <w:sz w:val="26"/>
                    <w:szCs w:val="26"/>
                  </w:rPr>
                </m:ctrlPr>
              </m:sSupPr>
              <m:e>
                <m:r>
                  <w:rPr>
                    <w:rFonts w:ascii="Cambria Math" w:eastAsia="Times New Roman" w:hAnsi="Cambria Math"/>
                    <w:color w:val="000000" w:themeColor="text1"/>
                    <w:sz w:val="26"/>
                    <w:szCs w:val="26"/>
                  </w:rPr>
                  <m:t>cm</m:t>
                </m:r>
              </m:e>
              <m:sup>
                <m:r>
                  <w:rPr>
                    <w:rFonts w:ascii="Cambria Math" w:eastAsia="Times New Roman" w:hAnsi="Cambria Math"/>
                    <w:color w:val="000000" w:themeColor="text1"/>
                    <w:sz w:val="26"/>
                    <w:szCs w:val="26"/>
                  </w:rPr>
                  <m:t>2</m:t>
                </m:r>
              </m:sup>
            </m:sSup>
          </m:num>
          <m:den>
            <m:r>
              <w:rPr>
                <w:rFonts w:ascii="Cambria Math" w:eastAsia="Times New Roman" w:hAnsi="Cambria Math"/>
                <w:color w:val="000000" w:themeColor="text1"/>
                <w:sz w:val="26"/>
                <w:szCs w:val="26"/>
              </w:rPr>
              <m:t>s</m:t>
            </m:r>
          </m:den>
        </m:f>
      </m:oMath>
      <w:r w:rsidRPr="00816009">
        <w:rPr>
          <w:rFonts w:ascii="Times New Roman" w:eastAsia="Times New Roman" w:hAnsi="Times New Roman"/>
          <w:color w:val="000000" w:themeColor="text1"/>
          <w:sz w:val="24"/>
          <w:szCs w:val="24"/>
        </w:rPr>
        <w:instrText xml:space="preserve"> </w:instrText>
      </w:r>
      <w:r w:rsidR="00C82ACA" w:rsidRPr="00816009">
        <w:rPr>
          <w:rFonts w:ascii="Times New Roman" w:eastAsia="Times New Roman" w:hAnsi="Times New Roman"/>
          <w:color w:val="000000" w:themeColor="text1"/>
          <w:sz w:val="24"/>
          <w:szCs w:val="24"/>
        </w:rPr>
        <w:fldChar w:fldCharType="end"/>
      </w:r>
      <w:r w:rsidRPr="00816009">
        <w:rPr>
          <w:rFonts w:ascii="Times New Roman" w:eastAsia="Times New Roman" w:hAnsi="Times New Roman"/>
          <w:color w:val="000000" w:themeColor="text1"/>
          <w:sz w:val="24"/>
          <w:szCs w:val="24"/>
        </w:rPr>
        <w:t xml:space="preserve"> </w:t>
      </w:r>
      <w:r w:rsidR="008E7B3C">
        <w:rPr>
          <w:rFonts w:ascii="Times New Roman" w:hAnsi="Times New Roman"/>
          <w:color w:val="000000" w:themeColor="text1"/>
          <w:sz w:val="24"/>
          <w:szCs w:val="24"/>
        </w:rPr>
        <w:t>[58</w:t>
      </w:r>
      <w:r w:rsidRPr="00816009">
        <w:rPr>
          <w:rFonts w:ascii="Times New Roman" w:hAnsi="Times New Roman"/>
          <w:color w:val="000000" w:themeColor="text1"/>
          <w:sz w:val="24"/>
          <w:szCs w:val="24"/>
        </w:rPr>
        <w:t xml:space="preserve">]), </w:t>
      </w:r>
      <w:r w:rsidRPr="00816009">
        <w:rPr>
          <w:rFonts w:ascii="Times New Roman" w:eastAsia="Times New Roman" w:hAnsi="Times New Roman"/>
          <w:color w:val="000000" w:themeColor="text1"/>
          <w:sz w:val="24"/>
          <w:szCs w:val="24"/>
        </w:rPr>
        <w:t xml:space="preserve">l’atome de cuivre assure la passivation des divers centres de recombinaison à travers la couche CIGS. L’atome de cuivre est considéré comme élément clé dans ces matériaux. Cette particularité a offert aux matériaux CIGS une </w:t>
      </w:r>
      <w:r w:rsidRPr="00816009">
        <w:rPr>
          <w:rFonts w:ascii="Times New Roman" w:hAnsi="Times New Roman"/>
          <w:color w:val="000000" w:themeColor="text1"/>
          <w:sz w:val="24"/>
          <w:szCs w:val="24"/>
        </w:rPr>
        <w:t>grande stabilité aux rayonnements cosmiques [</w:t>
      </w:r>
      <w:r w:rsidR="008E7B3C">
        <w:rPr>
          <w:rFonts w:ascii="Times New Roman" w:hAnsi="Times New Roman"/>
          <w:color w:val="000000" w:themeColor="text1"/>
          <w:sz w:val="24"/>
          <w:szCs w:val="24"/>
        </w:rPr>
        <w:t>59, 60</w:t>
      </w:r>
      <w:r w:rsidRPr="00816009">
        <w:rPr>
          <w:rFonts w:ascii="Times New Roman" w:hAnsi="Times New Roman"/>
          <w:color w:val="000000" w:themeColor="text1"/>
          <w:sz w:val="24"/>
          <w:szCs w:val="24"/>
        </w:rPr>
        <w:t>].</w:t>
      </w:r>
    </w:p>
    <w:p w:rsidR="00EB591A" w:rsidRPr="00816009" w:rsidRDefault="00EB591A" w:rsidP="00A434A7">
      <w:pPr>
        <w:spacing w:before="120" w:after="0" w:line="360" w:lineRule="auto"/>
        <w:ind w:firstLine="567"/>
        <w:jc w:val="both"/>
        <w:rPr>
          <w:rFonts w:asciiTheme="majorBidi" w:hAnsiTheme="majorBidi" w:cstheme="majorBidi"/>
          <w:color w:val="000000" w:themeColor="text1"/>
          <w:sz w:val="24"/>
          <w:szCs w:val="24"/>
        </w:rPr>
      </w:pPr>
      <w:r w:rsidRPr="00816009">
        <w:rPr>
          <w:rFonts w:asciiTheme="majorBidi" w:hAnsiTheme="majorBidi" w:cstheme="majorBidi"/>
          <w:color w:val="000000" w:themeColor="text1"/>
          <w:sz w:val="24"/>
          <w:szCs w:val="24"/>
        </w:rPr>
        <w:lastRenderedPageBreak/>
        <w:t xml:space="preserve">Les défauts intrinsèques  sont liés </w:t>
      </w:r>
      <w:r w:rsidR="002F3B84" w:rsidRPr="00816009">
        <w:rPr>
          <w:rFonts w:asciiTheme="majorBidi" w:hAnsiTheme="majorBidi" w:cstheme="majorBidi"/>
          <w:color w:val="000000" w:themeColor="text1"/>
          <w:sz w:val="24"/>
          <w:szCs w:val="24"/>
        </w:rPr>
        <w:t>aux imperfections</w:t>
      </w:r>
      <w:r w:rsidRPr="00816009">
        <w:rPr>
          <w:rFonts w:asciiTheme="majorBidi" w:hAnsiTheme="majorBidi" w:cstheme="majorBidi"/>
          <w:color w:val="000000" w:themeColor="text1"/>
          <w:sz w:val="24"/>
          <w:szCs w:val="24"/>
        </w:rPr>
        <w:t xml:space="preserve"> du réseau cristallin. Ils introduisent des niveaux d’énergie peu </w:t>
      </w:r>
      <w:r w:rsidR="002F3B84" w:rsidRPr="00816009">
        <w:rPr>
          <w:rFonts w:asciiTheme="majorBidi" w:hAnsiTheme="majorBidi" w:cstheme="majorBidi"/>
          <w:color w:val="000000" w:themeColor="text1"/>
          <w:sz w:val="24"/>
          <w:szCs w:val="24"/>
        </w:rPr>
        <w:t>profonde</w:t>
      </w:r>
      <w:r w:rsidRPr="00816009">
        <w:rPr>
          <w:rFonts w:asciiTheme="majorBidi" w:hAnsiTheme="majorBidi" w:cstheme="majorBidi"/>
          <w:color w:val="000000" w:themeColor="text1"/>
          <w:sz w:val="24"/>
          <w:szCs w:val="24"/>
        </w:rPr>
        <w:t xml:space="preserve">. </w:t>
      </w:r>
      <w:r w:rsidR="000F0B04" w:rsidRPr="00816009">
        <w:rPr>
          <w:rFonts w:asciiTheme="majorBidi" w:hAnsiTheme="majorBidi" w:cstheme="majorBidi"/>
          <w:color w:val="000000" w:themeColor="text1"/>
          <w:sz w:val="24"/>
          <w:szCs w:val="24"/>
        </w:rPr>
        <w:t>L</w:t>
      </w:r>
      <w:r w:rsidRPr="00816009">
        <w:rPr>
          <w:rFonts w:asciiTheme="majorBidi" w:hAnsiTheme="majorBidi" w:cstheme="majorBidi"/>
          <w:color w:val="000000" w:themeColor="text1"/>
          <w:sz w:val="24"/>
          <w:szCs w:val="24"/>
        </w:rPr>
        <w:t>es principaux défauts intrinsèques qui sont généralement présentés dans les ternaires CuInSe</w:t>
      </w:r>
      <w:r w:rsidRPr="00816009">
        <w:rPr>
          <w:rFonts w:asciiTheme="majorBidi" w:hAnsiTheme="majorBidi" w:cstheme="majorBidi"/>
          <w:color w:val="000000" w:themeColor="text1"/>
          <w:sz w:val="24"/>
          <w:szCs w:val="24"/>
          <w:vertAlign w:val="subscript"/>
        </w:rPr>
        <w:t>2</w:t>
      </w:r>
      <w:r w:rsidR="000F0B04" w:rsidRPr="00816009">
        <w:rPr>
          <w:rFonts w:asciiTheme="majorBidi" w:hAnsiTheme="majorBidi" w:cstheme="majorBidi"/>
          <w:color w:val="000000" w:themeColor="text1"/>
          <w:sz w:val="24"/>
          <w:szCs w:val="24"/>
          <w:vertAlign w:val="subscript"/>
        </w:rPr>
        <w:t xml:space="preserve"> </w:t>
      </w:r>
      <w:r w:rsidR="000F0B04" w:rsidRPr="00816009">
        <w:rPr>
          <w:rFonts w:asciiTheme="majorBidi" w:hAnsiTheme="majorBidi" w:cstheme="majorBidi"/>
          <w:color w:val="000000" w:themeColor="text1"/>
          <w:sz w:val="24"/>
          <w:szCs w:val="24"/>
        </w:rPr>
        <w:t>se divisant en trois parties :</w:t>
      </w:r>
    </w:p>
    <w:p w:rsidR="007224C7" w:rsidRDefault="000F0B04" w:rsidP="00A434A7">
      <w:pPr>
        <w:pStyle w:val="a6"/>
        <w:numPr>
          <w:ilvl w:val="0"/>
          <w:numId w:val="27"/>
        </w:numPr>
        <w:spacing w:before="120" w:after="0" w:line="360" w:lineRule="auto"/>
        <w:jc w:val="both"/>
        <w:rPr>
          <w:rFonts w:asciiTheme="majorBidi" w:hAnsiTheme="majorBidi" w:cstheme="majorBidi"/>
          <w:sz w:val="24"/>
          <w:szCs w:val="24"/>
        </w:rPr>
      </w:pPr>
      <w:r>
        <w:rPr>
          <w:rFonts w:asciiTheme="majorBidi" w:hAnsiTheme="majorBidi" w:cstheme="majorBidi"/>
          <w:sz w:val="24"/>
          <w:szCs w:val="24"/>
        </w:rPr>
        <w:t xml:space="preserve">Les lacunes : </w:t>
      </w:r>
      <w:r w:rsidR="007224C7">
        <w:rPr>
          <w:rFonts w:asciiTheme="majorBidi" w:hAnsiTheme="majorBidi" w:cstheme="majorBidi"/>
          <w:sz w:val="24"/>
          <w:szCs w:val="24"/>
        </w:rPr>
        <w:t xml:space="preserve">ce défaut est caractérisé par l’absence d’un atome en un site normalement occupé. </w:t>
      </w:r>
      <w:r>
        <w:rPr>
          <w:rFonts w:asciiTheme="majorBidi" w:hAnsiTheme="majorBidi" w:cstheme="majorBidi"/>
          <w:sz w:val="24"/>
          <w:szCs w:val="24"/>
        </w:rPr>
        <w:t xml:space="preserve">ce type de défaut est présenté </w:t>
      </w:r>
      <w:r w:rsidR="007224C7">
        <w:rPr>
          <w:rFonts w:asciiTheme="majorBidi" w:hAnsiTheme="majorBidi" w:cstheme="majorBidi"/>
          <w:sz w:val="24"/>
          <w:szCs w:val="24"/>
        </w:rPr>
        <w:t>dans le composé ternaire ABC</w:t>
      </w:r>
      <w:r w:rsidR="007224C7" w:rsidRPr="007224C7">
        <w:rPr>
          <w:rFonts w:asciiTheme="majorBidi" w:hAnsiTheme="majorBidi" w:cstheme="majorBidi"/>
          <w:sz w:val="24"/>
          <w:szCs w:val="24"/>
          <w:vertAlign w:val="subscript"/>
        </w:rPr>
        <w:t>2</w:t>
      </w:r>
      <w:r w:rsidR="007224C7">
        <w:rPr>
          <w:rFonts w:asciiTheme="majorBidi" w:hAnsiTheme="majorBidi" w:cstheme="majorBidi"/>
          <w:sz w:val="24"/>
          <w:szCs w:val="24"/>
        </w:rPr>
        <w:t xml:space="preserve"> par V</w:t>
      </w:r>
      <w:r w:rsidR="007224C7" w:rsidRPr="007224C7">
        <w:rPr>
          <w:rFonts w:asciiTheme="majorBidi" w:hAnsiTheme="majorBidi" w:cstheme="majorBidi"/>
          <w:sz w:val="24"/>
          <w:szCs w:val="24"/>
          <w:vertAlign w:val="subscript"/>
        </w:rPr>
        <w:t>A</w:t>
      </w:r>
      <w:r w:rsidR="007224C7">
        <w:rPr>
          <w:rFonts w:asciiTheme="majorBidi" w:hAnsiTheme="majorBidi" w:cstheme="majorBidi"/>
          <w:sz w:val="24"/>
          <w:szCs w:val="24"/>
        </w:rPr>
        <w:t>, V</w:t>
      </w:r>
      <w:r w:rsidR="007224C7" w:rsidRPr="007224C7">
        <w:rPr>
          <w:rFonts w:asciiTheme="majorBidi" w:hAnsiTheme="majorBidi" w:cstheme="majorBidi"/>
          <w:sz w:val="24"/>
          <w:szCs w:val="24"/>
          <w:vertAlign w:val="subscript"/>
        </w:rPr>
        <w:t>B</w:t>
      </w:r>
      <w:r w:rsidR="007224C7">
        <w:rPr>
          <w:rFonts w:asciiTheme="majorBidi" w:hAnsiTheme="majorBidi" w:cstheme="majorBidi"/>
          <w:sz w:val="24"/>
          <w:szCs w:val="24"/>
        </w:rPr>
        <w:t>, V</w:t>
      </w:r>
      <w:r w:rsidR="007224C7" w:rsidRPr="007224C7">
        <w:rPr>
          <w:rFonts w:asciiTheme="majorBidi" w:hAnsiTheme="majorBidi" w:cstheme="majorBidi"/>
          <w:sz w:val="24"/>
          <w:szCs w:val="24"/>
          <w:vertAlign w:val="subscript"/>
        </w:rPr>
        <w:t>C</w:t>
      </w:r>
      <w:r w:rsidR="007224C7">
        <w:rPr>
          <w:rFonts w:asciiTheme="majorBidi" w:hAnsiTheme="majorBidi" w:cstheme="majorBidi"/>
          <w:sz w:val="24"/>
          <w:szCs w:val="24"/>
        </w:rPr>
        <w:t>.</w:t>
      </w:r>
    </w:p>
    <w:p w:rsidR="000F0B04" w:rsidRDefault="007224C7" w:rsidP="00A434A7">
      <w:pPr>
        <w:pStyle w:val="a6"/>
        <w:numPr>
          <w:ilvl w:val="0"/>
          <w:numId w:val="27"/>
        </w:numPr>
        <w:spacing w:after="0" w:line="360" w:lineRule="auto"/>
        <w:jc w:val="both"/>
        <w:rPr>
          <w:rFonts w:asciiTheme="majorBidi" w:hAnsiTheme="majorBidi" w:cstheme="majorBidi"/>
          <w:sz w:val="24"/>
          <w:szCs w:val="24"/>
        </w:rPr>
      </w:pPr>
      <w:r>
        <w:rPr>
          <w:rFonts w:asciiTheme="majorBidi" w:hAnsiTheme="majorBidi" w:cstheme="majorBidi"/>
          <w:sz w:val="24"/>
          <w:szCs w:val="24"/>
        </w:rPr>
        <w:t>Les interstitiels : les atomes se logent dans les sites normalement interdit. Ce type de défauts est présenté par A</w:t>
      </w:r>
      <w:r w:rsidRPr="007224C7">
        <w:rPr>
          <w:rFonts w:asciiTheme="majorBidi" w:hAnsiTheme="majorBidi" w:cstheme="majorBidi"/>
          <w:sz w:val="24"/>
          <w:szCs w:val="24"/>
          <w:vertAlign w:val="subscript"/>
        </w:rPr>
        <w:t>i</w:t>
      </w:r>
      <w:r>
        <w:rPr>
          <w:rFonts w:asciiTheme="majorBidi" w:hAnsiTheme="majorBidi" w:cstheme="majorBidi"/>
          <w:sz w:val="24"/>
          <w:szCs w:val="24"/>
        </w:rPr>
        <w:t>, B</w:t>
      </w:r>
      <w:r w:rsidRPr="007224C7">
        <w:rPr>
          <w:rFonts w:asciiTheme="majorBidi" w:hAnsiTheme="majorBidi" w:cstheme="majorBidi"/>
          <w:sz w:val="24"/>
          <w:szCs w:val="24"/>
          <w:vertAlign w:val="subscript"/>
        </w:rPr>
        <w:t>i</w:t>
      </w:r>
      <w:r>
        <w:rPr>
          <w:rFonts w:asciiTheme="majorBidi" w:hAnsiTheme="majorBidi" w:cstheme="majorBidi"/>
          <w:sz w:val="24"/>
          <w:szCs w:val="24"/>
        </w:rPr>
        <w:t>, C</w:t>
      </w:r>
      <w:r w:rsidRPr="007224C7">
        <w:rPr>
          <w:rFonts w:asciiTheme="majorBidi" w:hAnsiTheme="majorBidi" w:cstheme="majorBidi"/>
          <w:sz w:val="24"/>
          <w:szCs w:val="24"/>
          <w:vertAlign w:val="subscript"/>
        </w:rPr>
        <w:t>i</w:t>
      </w:r>
      <w:r>
        <w:rPr>
          <w:rFonts w:asciiTheme="majorBidi" w:hAnsiTheme="majorBidi" w:cstheme="majorBidi"/>
          <w:sz w:val="24"/>
          <w:szCs w:val="24"/>
        </w:rPr>
        <w:t xml:space="preserve">. </w:t>
      </w:r>
      <w:r>
        <w:rPr>
          <w:rFonts w:asciiTheme="majorBidi" w:hAnsiTheme="majorBidi" w:cstheme="majorBidi"/>
          <w:sz w:val="24"/>
          <w:szCs w:val="24"/>
          <w:vertAlign w:val="subscript"/>
        </w:rPr>
        <w:t xml:space="preserve"> </w:t>
      </w:r>
      <w:r w:rsidR="000F0B04">
        <w:rPr>
          <w:rFonts w:asciiTheme="majorBidi" w:hAnsiTheme="majorBidi" w:cstheme="majorBidi"/>
          <w:sz w:val="24"/>
          <w:szCs w:val="24"/>
        </w:rPr>
        <w:t xml:space="preserve"> </w:t>
      </w:r>
    </w:p>
    <w:p w:rsidR="007224C7" w:rsidRPr="000F0B04" w:rsidRDefault="007224C7" w:rsidP="00A434A7">
      <w:pPr>
        <w:pStyle w:val="a6"/>
        <w:numPr>
          <w:ilvl w:val="0"/>
          <w:numId w:val="27"/>
        </w:numPr>
        <w:spacing w:after="0" w:line="360" w:lineRule="auto"/>
        <w:jc w:val="both"/>
        <w:rPr>
          <w:rFonts w:asciiTheme="majorBidi" w:hAnsiTheme="majorBidi" w:cstheme="majorBidi"/>
          <w:sz w:val="24"/>
          <w:szCs w:val="24"/>
        </w:rPr>
      </w:pPr>
      <w:r>
        <w:rPr>
          <w:rFonts w:asciiTheme="majorBidi" w:hAnsiTheme="majorBidi" w:cstheme="majorBidi"/>
          <w:sz w:val="24"/>
          <w:szCs w:val="24"/>
        </w:rPr>
        <w:t>Les antisites (substitutionnels) : sont les atomes qui occupent les places des autres atomes. Ces défauts sont présentés par A</w:t>
      </w:r>
      <w:r w:rsidRPr="007224C7">
        <w:rPr>
          <w:rFonts w:asciiTheme="majorBidi" w:hAnsiTheme="majorBidi" w:cstheme="majorBidi"/>
          <w:sz w:val="24"/>
          <w:szCs w:val="24"/>
          <w:vertAlign w:val="subscript"/>
        </w:rPr>
        <w:t>B</w:t>
      </w:r>
      <w:r>
        <w:rPr>
          <w:rFonts w:asciiTheme="majorBidi" w:hAnsiTheme="majorBidi" w:cstheme="majorBidi"/>
          <w:sz w:val="24"/>
          <w:szCs w:val="24"/>
        </w:rPr>
        <w:t>A</w:t>
      </w:r>
      <w:r w:rsidRPr="007224C7">
        <w:rPr>
          <w:rFonts w:asciiTheme="majorBidi" w:hAnsiTheme="majorBidi" w:cstheme="majorBidi"/>
          <w:sz w:val="24"/>
          <w:szCs w:val="24"/>
          <w:vertAlign w:val="subscript"/>
        </w:rPr>
        <w:t>C</w:t>
      </w:r>
      <w:r>
        <w:rPr>
          <w:rFonts w:asciiTheme="majorBidi" w:hAnsiTheme="majorBidi" w:cstheme="majorBidi"/>
          <w:sz w:val="24"/>
          <w:szCs w:val="24"/>
        </w:rPr>
        <w:t>, B</w:t>
      </w:r>
      <w:r w:rsidRPr="007224C7">
        <w:rPr>
          <w:rFonts w:asciiTheme="majorBidi" w:hAnsiTheme="majorBidi" w:cstheme="majorBidi"/>
          <w:sz w:val="24"/>
          <w:szCs w:val="24"/>
          <w:vertAlign w:val="subscript"/>
        </w:rPr>
        <w:t>A</w:t>
      </w:r>
      <w:r>
        <w:rPr>
          <w:rFonts w:asciiTheme="majorBidi" w:hAnsiTheme="majorBidi" w:cstheme="majorBidi"/>
          <w:sz w:val="24"/>
          <w:szCs w:val="24"/>
        </w:rPr>
        <w:t>B</w:t>
      </w:r>
      <w:r w:rsidRPr="007224C7">
        <w:rPr>
          <w:rFonts w:asciiTheme="majorBidi" w:hAnsiTheme="majorBidi" w:cstheme="majorBidi"/>
          <w:sz w:val="24"/>
          <w:szCs w:val="24"/>
          <w:vertAlign w:val="subscript"/>
        </w:rPr>
        <w:t>C</w:t>
      </w:r>
      <w:r>
        <w:rPr>
          <w:rFonts w:asciiTheme="majorBidi" w:hAnsiTheme="majorBidi" w:cstheme="majorBidi"/>
          <w:sz w:val="24"/>
          <w:szCs w:val="24"/>
        </w:rPr>
        <w:t>, C</w:t>
      </w:r>
      <w:r w:rsidRPr="007224C7">
        <w:rPr>
          <w:rFonts w:asciiTheme="majorBidi" w:hAnsiTheme="majorBidi" w:cstheme="majorBidi"/>
          <w:sz w:val="24"/>
          <w:szCs w:val="24"/>
          <w:vertAlign w:val="subscript"/>
        </w:rPr>
        <w:t>A</w:t>
      </w:r>
      <w:r>
        <w:rPr>
          <w:rFonts w:asciiTheme="majorBidi" w:hAnsiTheme="majorBidi" w:cstheme="majorBidi"/>
          <w:sz w:val="24"/>
          <w:szCs w:val="24"/>
        </w:rPr>
        <w:t>C</w:t>
      </w:r>
      <w:r w:rsidRPr="007224C7">
        <w:rPr>
          <w:rFonts w:asciiTheme="majorBidi" w:hAnsiTheme="majorBidi" w:cstheme="majorBidi"/>
          <w:sz w:val="24"/>
          <w:szCs w:val="24"/>
          <w:vertAlign w:val="subscript"/>
        </w:rPr>
        <w:t>B</w:t>
      </w:r>
      <w:r>
        <w:rPr>
          <w:rFonts w:asciiTheme="majorBidi" w:hAnsiTheme="majorBidi" w:cstheme="majorBidi"/>
          <w:sz w:val="24"/>
          <w:szCs w:val="24"/>
        </w:rPr>
        <w:t xml:space="preserve">. </w:t>
      </w:r>
    </w:p>
    <w:p w:rsidR="00285493" w:rsidRDefault="00285493" w:rsidP="00A434A7">
      <w:pPr>
        <w:spacing w:before="120" w:after="0" w:line="360" w:lineRule="auto"/>
        <w:ind w:firstLine="567"/>
        <w:jc w:val="both"/>
        <w:rPr>
          <w:rFonts w:ascii="Times New Roman" w:hAnsi="Times New Roman"/>
          <w:sz w:val="24"/>
          <w:szCs w:val="24"/>
        </w:rPr>
      </w:pPr>
      <w:r w:rsidRPr="00285493">
        <w:rPr>
          <w:rFonts w:asciiTheme="majorBidi" w:hAnsiTheme="majorBidi" w:cstheme="majorBidi"/>
          <w:sz w:val="24"/>
          <w:szCs w:val="24"/>
        </w:rPr>
        <w:t xml:space="preserve">Les défauts extrinsèques ou défauts chimiques sont des impuretés pouvant s’introduire soit involontairement pendant la synthèse cristalline ou le recuit, soit occasionnellement pour effectuer des dopages. Leur présence peut induire des modifications de </w:t>
      </w:r>
      <w:r w:rsidR="002F3B84" w:rsidRPr="00285493">
        <w:rPr>
          <w:rFonts w:asciiTheme="majorBidi" w:hAnsiTheme="majorBidi" w:cstheme="majorBidi"/>
          <w:sz w:val="24"/>
          <w:szCs w:val="24"/>
        </w:rPr>
        <w:t>certaines propriétés physiques</w:t>
      </w:r>
      <w:r w:rsidRPr="00285493">
        <w:rPr>
          <w:rFonts w:asciiTheme="majorBidi" w:hAnsiTheme="majorBidi" w:cstheme="majorBidi"/>
          <w:sz w:val="24"/>
          <w:szCs w:val="24"/>
        </w:rPr>
        <w:t xml:space="preserve"> du cristal. </w:t>
      </w:r>
      <w:r w:rsidR="00B34B7F">
        <w:rPr>
          <w:rFonts w:ascii="Times New Roman" w:hAnsi="Times New Roman" w:cs="Times New Roman"/>
          <w:sz w:val="24"/>
          <w:szCs w:val="24"/>
        </w:rPr>
        <w:t xml:space="preserve">La figure 12 montre les différents types de défauts ponctuels que l’on peut trouver dans un réseau cristallin constitué de deux types d’atomes A et B. </w:t>
      </w:r>
      <w:r w:rsidRPr="00285493">
        <w:rPr>
          <w:rFonts w:asciiTheme="majorBidi" w:hAnsiTheme="majorBidi" w:cstheme="majorBidi"/>
          <w:sz w:val="24"/>
          <w:szCs w:val="24"/>
        </w:rPr>
        <w:t>La présence de</w:t>
      </w:r>
      <w:r w:rsidR="00B34B7F">
        <w:rPr>
          <w:rFonts w:asciiTheme="majorBidi" w:hAnsiTheme="majorBidi" w:cstheme="majorBidi"/>
          <w:sz w:val="24"/>
          <w:szCs w:val="24"/>
        </w:rPr>
        <w:t xml:space="preserve">s défauts cristallins (dislocations, défauts d’empilement, les macles …etc.) </w:t>
      </w:r>
      <w:r w:rsidRPr="00285493">
        <w:rPr>
          <w:rFonts w:asciiTheme="majorBidi" w:hAnsiTheme="majorBidi" w:cstheme="majorBidi"/>
          <w:sz w:val="24"/>
          <w:szCs w:val="24"/>
        </w:rPr>
        <w:t xml:space="preserve">n’est pas désirable dans le matériau, ils peuvent dégrader </w:t>
      </w:r>
      <w:r w:rsidR="00B34B7F">
        <w:rPr>
          <w:rFonts w:asciiTheme="majorBidi" w:hAnsiTheme="majorBidi" w:cstheme="majorBidi"/>
          <w:sz w:val="24"/>
          <w:szCs w:val="24"/>
        </w:rPr>
        <w:t>l</w:t>
      </w:r>
      <w:r w:rsidRPr="00285493">
        <w:rPr>
          <w:rFonts w:asciiTheme="majorBidi" w:hAnsiTheme="majorBidi" w:cstheme="majorBidi"/>
          <w:sz w:val="24"/>
          <w:szCs w:val="24"/>
        </w:rPr>
        <w:t xml:space="preserve">es performances. </w:t>
      </w:r>
    </w:p>
    <w:p w:rsidR="004A492B" w:rsidRDefault="004A492B" w:rsidP="00285493">
      <w:pPr>
        <w:spacing w:before="120" w:after="0" w:line="360" w:lineRule="auto"/>
        <w:ind w:firstLine="709"/>
        <w:jc w:val="both"/>
        <w:rPr>
          <w:rFonts w:ascii="Times New Roman" w:hAnsi="Times New Roman"/>
          <w:sz w:val="24"/>
          <w:szCs w:val="24"/>
        </w:rPr>
      </w:pPr>
    </w:p>
    <w:p w:rsidR="00B86F5C" w:rsidRPr="00B86F5C" w:rsidRDefault="007E115F" w:rsidP="00A434A7">
      <w:pPr>
        <w:spacing w:before="120" w:after="0" w:line="360" w:lineRule="auto"/>
        <w:jc w:val="center"/>
        <w:rPr>
          <w:rFonts w:ascii="Times New Roman" w:hAnsi="Times New Roman"/>
          <w:sz w:val="24"/>
          <w:szCs w:val="24"/>
        </w:rPr>
      </w:pPr>
      <w:r>
        <w:rPr>
          <w:rFonts w:ascii="Times New Roman" w:hAnsi="Times New Roman"/>
          <w:noProof/>
          <w:sz w:val="24"/>
          <w:szCs w:val="24"/>
          <w:lang w:eastAsia="fr-FR"/>
        </w:rPr>
        <w:lastRenderedPageBreak/>
        <w:drawing>
          <wp:inline distT="0" distB="0" distL="0" distR="0">
            <wp:extent cx="5648465" cy="4180114"/>
            <wp:effectExtent l="19050" t="0" r="9385" b="0"/>
            <wp:docPr id="82" name="صورة 82" descr="C:\Documents and Settings\idris\Bureau\defauts ponctuelle image .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Documents and Settings\idris\Bureau\defauts ponctuelle image .tif"/>
                    <pic:cNvPicPr>
                      <a:picLocks noChangeAspect="1" noChangeArrowheads="1"/>
                    </pic:cNvPicPr>
                  </pic:nvPicPr>
                  <pic:blipFill>
                    <a:blip r:embed="rId58"/>
                    <a:srcRect/>
                    <a:stretch>
                      <a:fillRect/>
                    </a:stretch>
                  </pic:blipFill>
                  <pic:spPr bwMode="auto">
                    <a:xfrm>
                      <a:off x="0" y="0"/>
                      <a:ext cx="5637530" cy="4172022"/>
                    </a:xfrm>
                    <a:prstGeom prst="rect">
                      <a:avLst/>
                    </a:prstGeom>
                    <a:noFill/>
                    <a:ln w="9525">
                      <a:noFill/>
                      <a:miter lim="800000"/>
                      <a:headEnd/>
                      <a:tailEnd/>
                    </a:ln>
                  </pic:spPr>
                </pic:pic>
              </a:graphicData>
            </a:graphic>
          </wp:inline>
        </w:drawing>
      </w:r>
    </w:p>
    <w:p w:rsidR="00B86F5C" w:rsidRDefault="00B86F5C" w:rsidP="00A434A7">
      <w:pPr>
        <w:pStyle w:val="Default"/>
        <w:spacing w:before="120"/>
        <w:jc w:val="center"/>
      </w:pPr>
      <w:r w:rsidRPr="00816009">
        <w:rPr>
          <w:b/>
          <w:bCs/>
        </w:rPr>
        <w:t xml:space="preserve">Figure </w:t>
      </w:r>
      <w:r w:rsidR="005913EC" w:rsidRPr="00D70296">
        <w:rPr>
          <w:rFonts w:asciiTheme="majorBidi" w:hAnsiTheme="majorBidi" w:cstheme="majorBidi"/>
          <w:b/>
          <w:bCs/>
        </w:rPr>
        <w:t>II</w:t>
      </w:r>
      <w:r w:rsidR="005913EC">
        <w:rPr>
          <w:b/>
          <w:bCs/>
        </w:rPr>
        <w:t>.</w:t>
      </w:r>
      <w:r w:rsidR="00285493" w:rsidRPr="00816009">
        <w:rPr>
          <w:b/>
          <w:bCs/>
        </w:rPr>
        <w:t>12</w:t>
      </w:r>
      <w:r w:rsidRPr="00B86F5C">
        <w:t xml:space="preserve"> : Défauts ponctuels dans </w:t>
      </w:r>
      <w:r>
        <w:t xml:space="preserve">le </w:t>
      </w:r>
      <w:r w:rsidR="00285493">
        <w:t xml:space="preserve">réseau </w:t>
      </w:r>
      <w:r>
        <w:t>cristal</w:t>
      </w:r>
      <w:r w:rsidR="00285493">
        <w:t>lin</w:t>
      </w:r>
      <w:r w:rsidR="007A4A72">
        <w:t>.</w:t>
      </w:r>
      <w:r>
        <w:t xml:space="preserve"> </w:t>
      </w:r>
    </w:p>
    <w:p w:rsidR="004036CB" w:rsidRDefault="004036CB" w:rsidP="007E115F">
      <w:pPr>
        <w:pStyle w:val="Default"/>
        <w:jc w:val="center"/>
      </w:pPr>
    </w:p>
    <w:p w:rsidR="004036CB" w:rsidRPr="004036CB" w:rsidRDefault="004D039C" w:rsidP="00A434A7">
      <w:pPr>
        <w:pStyle w:val="Default"/>
        <w:spacing w:before="240"/>
        <w:rPr>
          <w:b/>
          <w:bCs/>
        </w:rPr>
      </w:pPr>
      <w:r>
        <w:rPr>
          <w:b/>
          <w:bCs/>
        </w:rPr>
        <w:t>CONCLUSION</w:t>
      </w:r>
    </w:p>
    <w:p w:rsidR="004D039C" w:rsidRDefault="004D039C" w:rsidP="009951A9">
      <w:pPr>
        <w:spacing w:before="120" w:after="0" w:line="360" w:lineRule="auto"/>
        <w:ind w:firstLine="567"/>
        <w:jc w:val="both"/>
        <w:rPr>
          <w:rFonts w:ascii="Times New Roman" w:hAnsi="Times New Roman" w:cs="Times New Roman"/>
          <w:sz w:val="24"/>
          <w:szCs w:val="24"/>
        </w:rPr>
      </w:pPr>
      <w:r w:rsidRPr="00055EF6">
        <w:rPr>
          <w:rFonts w:ascii="Times New Roman" w:hAnsi="Times New Roman" w:cs="Times New Roman"/>
          <w:sz w:val="24"/>
          <w:szCs w:val="24"/>
        </w:rPr>
        <w:t>Le concept des cellules photovoltaïques est un objectif majeur dans le</w:t>
      </w:r>
      <w:r>
        <w:rPr>
          <w:rFonts w:ascii="Times New Roman" w:hAnsi="Times New Roman" w:cs="Times New Roman"/>
          <w:sz w:val="24"/>
          <w:szCs w:val="24"/>
        </w:rPr>
        <w:t xml:space="preserve"> </w:t>
      </w:r>
      <w:r w:rsidRPr="00055EF6">
        <w:rPr>
          <w:rFonts w:ascii="Times New Roman" w:hAnsi="Times New Roman" w:cs="Times New Roman"/>
          <w:sz w:val="24"/>
          <w:szCs w:val="24"/>
        </w:rPr>
        <w:t>développement  des sociétés, elle permet de fournir l’électricité en utilisant  des</w:t>
      </w:r>
      <w:r>
        <w:rPr>
          <w:rFonts w:ascii="Times New Roman" w:hAnsi="Times New Roman" w:cs="Times New Roman"/>
          <w:sz w:val="24"/>
          <w:szCs w:val="24"/>
        </w:rPr>
        <w:t xml:space="preserve"> </w:t>
      </w:r>
      <w:r w:rsidRPr="00055EF6">
        <w:rPr>
          <w:rFonts w:ascii="Times New Roman" w:hAnsi="Times New Roman" w:cs="Times New Roman"/>
          <w:sz w:val="24"/>
          <w:szCs w:val="24"/>
        </w:rPr>
        <w:t>matériaux sem</w:t>
      </w:r>
      <w:r>
        <w:rPr>
          <w:rFonts w:ascii="Times New Roman" w:hAnsi="Times New Roman" w:cs="Times New Roman"/>
          <w:sz w:val="24"/>
          <w:szCs w:val="24"/>
        </w:rPr>
        <w:t>i-</w:t>
      </w:r>
      <w:r w:rsidRPr="00055EF6">
        <w:rPr>
          <w:rFonts w:ascii="Times New Roman" w:hAnsi="Times New Roman" w:cs="Times New Roman"/>
          <w:sz w:val="24"/>
          <w:szCs w:val="24"/>
        </w:rPr>
        <w:t xml:space="preserve">conducteurs  avec des propriétés physiques bien définis. </w:t>
      </w:r>
    </w:p>
    <w:p w:rsidR="004D039C" w:rsidRDefault="004D039C" w:rsidP="009951A9">
      <w:pPr>
        <w:spacing w:before="120" w:after="0" w:line="360" w:lineRule="auto"/>
        <w:ind w:firstLine="567"/>
        <w:jc w:val="both"/>
        <w:rPr>
          <w:rFonts w:ascii="Times New Roman" w:hAnsi="Times New Roman" w:cs="Times New Roman"/>
          <w:sz w:val="24"/>
          <w:szCs w:val="24"/>
        </w:rPr>
      </w:pPr>
      <w:r w:rsidRPr="00055EF6">
        <w:rPr>
          <w:rFonts w:ascii="Times New Roman" w:hAnsi="Times New Roman" w:cs="Times New Roman"/>
          <w:sz w:val="24"/>
          <w:szCs w:val="24"/>
        </w:rPr>
        <w:t xml:space="preserve">C’est pourquoi, dans le cadre de ce </w:t>
      </w:r>
      <w:r>
        <w:rPr>
          <w:rFonts w:ascii="Times New Roman" w:hAnsi="Times New Roman" w:cs="Times New Roman"/>
          <w:sz w:val="24"/>
          <w:szCs w:val="24"/>
        </w:rPr>
        <w:t xml:space="preserve">chapitre, nous nous sommes intéressés à </w:t>
      </w:r>
      <w:r w:rsidRPr="00055EF6">
        <w:rPr>
          <w:rFonts w:ascii="Times New Roman" w:hAnsi="Times New Roman" w:cs="Times New Roman"/>
          <w:sz w:val="24"/>
          <w:szCs w:val="24"/>
        </w:rPr>
        <w:t xml:space="preserve">l’étude des propriétés </w:t>
      </w:r>
      <w:r w:rsidRPr="009951A9">
        <w:rPr>
          <w:rFonts w:ascii="Times New Roman" w:hAnsi="Times New Roman" w:cs="Times New Roman"/>
          <w:sz w:val="24"/>
          <w:szCs w:val="24"/>
        </w:rPr>
        <w:t>physico-chimiques</w:t>
      </w:r>
      <w:r>
        <w:rPr>
          <w:rFonts w:ascii="Times New Roman" w:hAnsi="Times New Roman" w:cs="Times New Roman"/>
          <w:sz w:val="24"/>
          <w:szCs w:val="24"/>
        </w:rPr>
        <w:t xml:space="preserve"> des</w:t>
      </w:r>
      <w:r w:rsidR="009951A9">
        <w:rPr>
          <w:rFonts w:ascii="Times New Roman" w:hAnsi="Times New Roman" w:cs="Times New Roman"/>
          <w:sz w:val="24"/>
          <w:szCs w:val="24"/>
        </w:rPr>
        <w:t xml:space="preserve"> composés </w:t>
      </w:r>
      <w:r>
        <w:rPr>
          <w:rFonts w:ascii="Times New Roman" w:hAnsi="Times New Roman" w:cs="Times New Roman"/>
          <w:sz w:val="24"/>
          <w:szCs w:val="24"/>
        </w:rPr>
        <w:t xml:space="preserve">chalcopyrites </w:t>
      </w:r>
      <w:r w:rsidR="0035434E">
        <w:rPr>
          <w:rFonts w:ascii="Times New Roman" w:hAnsi="Times New Roman" w:cs="Times New Roman"/>
          <w:sz w:val="24"/>
          <w:szCs w:val="24"/>
        </w:rPr>
        <w:t>Cu(In,Ga)Se</w:t>
      </w:r>
      <w:r w:rsidR="0035434E" w:rsidRPr="0035434E">
        <w:rPr>
          <w:rFonts w:ascii="Times New Roman" w:hAnsi="Times New Roman" w:cs="Times New Roman"/>
          <w:sz w:val="24"/>
          <w:szCs w:val="24"/>
          <w:vertAlign w:val="subscript"/>
        </w:rPr>
        <w:t>2</w:t>
      </w:r>
      <w:r w:rsidR="0035434E">
        <w:rPr>
          <w:rFonts w:ascii="Times New Roman" w:hAnsi="Times New Roman" w:cs="Times New Roman"/>
          <w:sz w:val="24"/>
          <w:szCs w:val="24"/>
        </w:rPr>
        <w:t xml:space="preserve"> </w:t>
      </w:r>
      <w:r>
        <w:rPr>
          <w:rFonts w:ascii="Times New Roman" w:hAnsi="Times New Roman" w:cs="Times New Roman"/>
          <w:sz w:val="24"/>
          <w:szCs w:val="24"/>
        </w:rPr>
        <w:t>(CIGS</w:t>
      </w:r>
      <w:r w:rsidRPr="00055EF6">
        <w:rPr>
          <w:rFonts w:ascii="Times New Roman" w:hAnsi="Times New Roman" w:cs="Times New Roman"/>
          <w:sz w:val="24"/>
          <w:szCs w:val="24"/>
        </w:rPr>
        <w:t>)</w:t>
      </w:r>
      <w:r>
        <w:rPr>
          <w:rFonts w:ascii="Times New Roman" w:hAnsi="Times New Roman" w:cs="Times New Roman"/>
          <w:sz w:val="24"/>
          <w:szCs w:val="24"/>
        </w:rPr>
        <w:t>.</w:t>
      </w:r>
    </w:p>
    <w:p w:rsidR="004D039C" w:rsidRPr="009951A9" w:rsidRDefault="004D039C" w:rsidP="00410F0A">
      <w:pPr>
        <w:spacing w:before="120" w:after="0" w:line="360" w:lineRule="auto"/>
        <w:ind w:firstLine="567"/>
        <w:jc w:val="both"/>
        <w:rPr>
          <w:rFonts w:ascii="Times New Roman" w:hAnsi="Times New Roman" w:cs="Times New Roman"/>
          <w:sz w:val="24"/>
          <w:szCs w:val="24"/>
        </w:rPr>
      </w:pPr>
      <w:r w:rsidRPr="009951A9">
        <w:rPr>
          <w:rFonts w:ascii="Times New Roman" w:hAnsi="Times New Roman" w:cs="Times New Roman"/>
          <w:sz w:val="24"/>
          <w:szCs w:val="24"/>
        </w:rPr>
        <w:t>Notre étude a permis de fournir une description détaillée des propriétés structurales,  électriques et optiques, telles que : l’optimisation structurales, la structure de bande</w:t>
      </w:r>
      <w:r w:rsidR="00410F0A">
        <w:rPr>
          <w:rFonts w:ascii="Times New Roman" w:hAnsi="Times New Roman" w:cs="Times New Roman"/>
          <w:sz w:val="24"/>
          <w:szCs w:val="24"/>
        </w:rPr>
        <w:t>s</w:t>
      </w:r>
      <w:r w:rsidRPr="009951A9">
        <w:rPr>
          <w:rFonts w:ascii="Times New Roman" w:hAnsi="Times New Roman" w:cs="Times New Roman"/>
          <w:sz w:val="24"/>
          <w:szCs w:val="24"/>
        </w:rPr>
        <w:t xml:space="preserve">, diagrammes compositionnels et </w:t>
      </w:r>
      <w:r w:rsidRPr="009951A9">
        <w:rPr>
          <w:rFonts w:asciiTheme="majorBidi" w:hAnsiTheme="majorBidi" w:cstheme="majorBidi"/>
          <w:bCs/>
          <w:sz w:val="24"/>
          <w:szCs w:val="24"/>
        </w:rPr>
        <w:t>diagramme de phase</w:t>
      </w:r>
      <w:r w:rsidRPr="009951A9">
        <w:rPr>
          <w:rFonts w:ascii="Times New Roman" w:hAnsi="Times New Roman" w:cs="Times New Roman"/>
          <w:sz w:val="24"/>
          <w:szCs w:val="24"/>
        </w:rPr>
        <w:t>.</w:t>
      </w:r>
      <w:r w:rsidR="009951A9">
        <w:rPr>
          <w:rFonts w:ascii="Times New Roman" w:hAnsi="Times New Roman" w:cs="Times New Roman"/>
          <w:sz w:val="24"/>
          <w:szCs w:val="24"/>
        </w:rPr>
        <w:t xml:space="preserve"> </w:t>
      </w:r>
      <w:r w:rsidR="00410F0A">
        <w:rPr>
          <w:rFonts w:ascii="Times New Roman" w:hAnsi="Times New Roman" w:cs="Times New Roman"/>
          <w:sz w:val="24"/>
          <w:szCs w:val="24"/>
        </w:rPr>
        <w:t xml:space="preserve">Les </w:t>
      </w:r>
      <w:r w:rsidRPr="009951A9">
        <w:rPr>
          <w:rFonts w:ascii="Times New Roman" w:hAnsi="Times New Roman" w:cs="Times New Roman"/>
          <w:sz w:val="24"/>
          <w:szCs w:val="24"/>
        </w:rPr>
        <w:t>résultats indiquent clairement que :</w:t>
      </w:r>
      <w:r w:rsidR="009951A9">
        <w:rPr>
          <w:rFonts w:ascii="Times New Roman" w:hAnsi="Times New Roman" w:cs="Times New Roman"/>
          <w:sz w:val="24"/>
          <w:szCs w:val="24"/>
        </w:rPr>
        <w:t xml:space="preserve"> </w:t>
      </w:r>
      <w:r w:rsidR="00410F0A">
        <w:rPr>
          <w:rFonts w:ascii="Times New Roman" w:hAnsi="Times New Roman"/>
          <w:sz w:val="24"/>
          <w:szCs w:val="24"/>
        </w:rPr>
        <w:t xml:space="preserve">ce </w:t>
      </w:r>
      <w:r w:rsidRPr="009951A9">
        <w:rPr>
          <w:rFonts w:ascii="Times New Roman" w:hAnsi="Times New Roman"/>
          <w:sz w:val="24"/>
          <w:szCs w:val="24"/>
        </w:rPr>
        <w:t>matériau présente un fort coefficient d’absorption dans le visible. Ce  qui  serve</w:t>
      </w:r>
      <w:r w:rsidR="009951A9">
        <w:rPr>
          <w:rFonts w:ascii="Times New Roman" w:hAnsi="Times New Roman"/>
          <w:sz w:val="24"/>
          <w:szCs w:val="24"/>
        </w:rPr>
        <w:t xml:space="preserve"> </w:t>
      </w:r>
      <w:r w:rsidRPr="009951A9">
        <w:rPr>
          <w:rFonts w:ascii="Times New Roman" w:hAnsi="Times New Roman"/>
          <w:sz w:val="24"/>
          <w:szCs w:val="24"/>
        </w:rPr>
        <w:t xml:space="preserve">positivement à l’utilisation en tant que couches absorbantes dans les cellules </w:t>
      </w:r>
      <w:r w:rsidR="00410F0A">
        <w:rPr>
          <w:rFonts w:ascii="Times New Roman" w:hAnsi="Times New Roman"/>
          <w:sz w:val="24"/>
          <w:szCs w:val="24"/>
        </w:rPr>
        <w:t xml:space="preserve">solaires </w:t>
      </w:r>
      <w:r w:rsidRPr="009951A9">
        <w:rPr>
          <w:rFonts w:ascii="Times New Roman" w:hAnsi="Times New Roman"/>
          <w:sz w:val="24"/>
          <w:szCs w:val="24"/>
        </w:rPr>
        <w:t>photovoltaïques.</w:t>
      </w:r>
    </w:p>
    <w:p w:rsidR="00111D80" w:rsidRPr="00E37D2B" w:rsidRDefault="00111D80" w:rsidP="00895FD4">
      <w:pPr>
        <w:pStyle w:val="a"/>
        <w:numPr>
          <w:ilvl w:val="0"/>
          <w:numId w:val="0"/>
        </w:numPr>
        <w:spacing w:line="360" w:lineRule="auto"/>
        <w:rPr>
          <w:rFonts w:eastAsia="Times New Roman"/>
          <w:color w:val="000000" w:themeColor="text1"/>
          <w:sz w:val="24"/>
          <w:szCs w:val="24"/>
        </w:rPr>
      </w:pPr>
    </w:p>
    <w:sectPr w:rsidR="00111D80" w:rsidRPr="00E37D2B" w:rsidSect="0006448F">
      <w:headerReference w:type="default" r:id="rId59"/>
      <w:footerReference w:type="default" r:id="rId60"/>
      <w:pgSz w:w="11906" w:h="16838"/>
      <w:pgMar w:top="1417" w:right="1417" w:bottom="1417" w:left="1417" w:header="708" w:footer="708" w:gutter="0"/>
      <w:pgNumType w:start="3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3D2B" w:rsidRDefault="00DA3D2B" w:rsidP="00756FC8">
      <w:pPr>
        <w:spacing w:after="0" w:line="240" w:lineRule="auto"/>
      </w:pPr>
      <w:r>
        <w:separator/>
      </w:r>
    </w:p>
  </w:endnote>
  <w:endnote w:type="continuationSeparator" w:id="1">
    <w:p w:rsidR="00DA3D2B" w:rsidRDefault="00DA3D2B" w:rsidP="00756F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B2"/>
    <w:family w:val="swiss"/>
    <w:notTrueType/>
    <w:pitch w:val="variable"/>
    <w:sig w:usb0="00002001" w:usb1="00000000" w:usb2="00000000"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9946"/>
      <w:docPartObj>
        <w:docPartGallery w:val="Page Numbers (Bottom of Page)"/>
        <w:docPartUnique/>
      </w:docPartObj>
    </w:sdtPr>
    <w:sdtContent>
      <w:p w:rsidR="005A4B37" w:rsidRDefault="00C82ACA">
        <w:pPr>
          <w:pStyle w:val="a9"/>
          <w:jc w:val="center"/>
        </w:pPr>
        <w:fldSimple w:instr=" PAGE   \* MERGEFORMAT ">
          <w:r w:rsidR="004D419A">
            <w:rPr>
              <w:noProof/>
            </w:rPr>
            <w:t>53</w:t>
          </w:r>
        </w:fldSimple>
      </w:p>
    </w:sdtContent>
  </w:sdt>
  <w:p w:rsidR="00AD0DDC" w:rsidRDefault="00AD0DD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3D2B" w:rsidRDefault="00DA3D2B" w:rsidP="00756FC8">
      <w:pPr>
        <w:spacing w:after="0" w:line="240" w:lineRule="auto"/>
      </w:pPr>
      <w:r>
        <w:separator/>
      </w:r>
    </w:p>
  </w:footnote>
  <w:footnote w:type="continuationSeparator" w:id="1">
    <w:p w:rsidR="00DA3D2B" w:rsidRDefault="00DA3D2B" w:rsidP="00756FC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iCs/>
        <w:sz w:val="16"/>
        <w:szCs w:val="16"/>
      </w:rPr>
      <w:alias w:val="العنوان"/>
      <w:id w:val="20845221"/>
      <w:placeholder>
        <w:docPart w:val="0CC6E288B7C04EE18558DD5AA0470047"/>
      </w:placeholder>
      <w:dataBinding w:prefixMappings="xmlns:ns0='http://schemas.openxmlformats.org/package/2006/metadata/core-properties' xmlns:ns1='http://purl.org/dc/elements/1.1/'" w:xpath="/ns0:coreProperties[1]/ns1:title[1]" w:storeItemID="{6C3C8BC8-F283-45AE-878A-BAB7291924A1}"/>
      <w:text/>
    </w:sdtPr>
    <w:sdtContent>
      <w:p w:rsidR="00AD0DDC" w:rsidRPr="00756FC8" w:rsidRDefault="00AD0DDC" w:rsidP="00756FC8">
        <w:pPr>
          <w:pStyle w:val="a8"/>
          <w:pBdr>
            <w:bottom w:val="thickThinSmallGap" w:sz="24" w:space="1" w:color="622423" w:themeColor="accent2" w:themeShade="7F"/>
          </w:pBdr>
          <w:jc w:val="center"/>
          <w:rPr>
            <w:rFonts w:asciiTheme="majorHAnsi" w:eastAsiaTheme="majorEastAsia" w:hAnsiTheme="majorHAnsi" w:cstheme="majorBidi"/>
            <w:sz w:val="32"/>
            <w:szCs w:val="32"/>
          </w:rPr>
        </w:pPr>
        <w:r w:rsidRPr="00756FC8">
          <w:rPr>
            <w:rFonts w:asciiTheme="majorHAnsi" w:eastAsiaTheme="majorEastAsia" w:hAnsiTheme="majorHAnsi" w:cstheme="majorBidi"/>
            <w:i/>
            <w:iCs/>
            <w:sz w:val="16"/>
            <w:szCs w:val="16"/>
          </w:rPr>
          <w:t xml:space="preserve">Chapitre </w:t>
        </w:r>
        <w:r>
          <w:rPr>
            <w:rFonts w:asciiTheme="majorHAnsi" w:eastAsiaTheme="majorEastAsia" w:hAnsiTheme="majorHAnsi" w:cstheme="majorBidi"/>
            <w:i/>
            <w:iCs/>
            <w:sz w:val="16"/>
            <w:szCs w:val="16"/>
          </w:rPr>
          <w:t>II</w:t>
        </w:r>
        <w:r w:rsidRPr="00756FC8">
          <w:rPr>
            <w:rFonts w:asciiTheme="majorHAnsi" w:eastAsiaTheme="majorEastAsia" w:hAnsiTheme="majorHAnsi" w:cstheme="majorBidi"/>
            <w:i/>
            <w:iCs/>
            <w:sz w:val="16"/>
            <w:szCs w:val="16"/>
          </w:rPr>
          <w:t xml:space="preserve">                                                                     </w:t>
        </w:r>
        <w:r>
          <w:rPr>
            <w:rFonts w:asciiTheme="majorHAnsi" w:eastAsiaTheme="majorEastAsia" w:hAnsiTheme="majorHAnsi" w:cstheme="majorBidi"/>
            <w:i/>
            <w:iCs/>
            <w:sz w:val="16"/>
            <w:szCs w:val="16"/>
          </w:rPr>
          <w:t xml:space="preserve">                         </w:t>
        </w:r>
        <w:r w:rsidRPr="00756FC8">
          <w:rPr>
            <w:rFonts w:asciiTheme="majorHAnsi" w:eastAsiaTheme="majorEastAsia" w:hAnsiTheme="majorHAnsi" w:cstheme="majorBidi"/>
            <w:i/>
            <w:iCs/>
            <w:sz w:val="16"/>
            <w:szCs w:val="16"/>
          </w:rPr>
          <w:t xml:space="preserve">                                         Propriétés fondamentales des </w:t>
        </w:r>
        <w:r>
          <w:rPr>
            <w:rFonts w:asciiTheme="majorHAnsi" w:eastAsiaTheme="majorEastAsia" w:hAnsiTheme="majorHAnsi" w:cstheme="majorBidi"/>
            <w:i/>
            <w:iCs/>
            <w:sz w:val="16"/>
            <w:szCs w:val="16"/>
          </w:rPr>
          <w:t>m</w:t>
        </w:r>
        <w:r w:rsidRPr="00756FC8">
          <w:rPr>
            <w:rFonts w:asciiTheme="majorHAnsi" w:eastAsiaTheme="majorEastAsia" w:hAnsiTheme="majorHAnsi" w:cstheme="majorBidi"/>
            <w:i/>
            <w:iCs/>
            <w:sz w:val="16"/>
            <w:szCs w:val="16"/>
          </w:rPr>
          <w:t>atériaux Cu(In,Ga)Se2</w:t>
        </w:r>
      </w:p>
    </w:sdtContent>
  </w:sdt>
  <w:p w:rsidR="00AD0DDC" w:rsidRDefault="00AD0DDC">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B382718"/>
    <w:lvl w:ilvl="0">
      <w:start w:val="1"/>
      <w:numFmt w:val="decimal"/>
      <w:lvlText w:val="%1."/>
      <w:lvlJc w:val="left"/>
      <w:pPr>
        <w:tabs>
          <w:tab w:val="num" w:pos="1492"/>
        </w:tabs>
        <w:ind w:left="1492" w:hanging="360"/>
      </w:pPr>
    </w:lvl>
  </w:abstractNum>
  <w:abstractNum w:abstractNumId="1">
    <w:nsid w:val="FFFFFF7D"/>
    <w:multiLevelType w:val="singleLevel"/>
    <w:tmpl w:val="C37A936E"/>
    <w:lvl w:ilvl="0">
      <w:start w:val="1"/>
      <w:numFmt w:val="decimal"/>
      <w:lvlText w:val="%1."/>
      <w:lvlJc w:val="left"/>
      <w:pPr>
        <w:tabs>
          <w:tab w:val="num" w:pos="1209"/>
        </w:tabs>
        <w:ind w:left="1209" w:hanging="360"/>
      </w:pPr>
    </w:lvl>
  </w:abstractNum>
  <w:abstractNum w:abstractNumId="2">
    <w:nsid w:val="FFFFFF7E"/>
    <w:multiLevelType w:val="singleLevel"/>
    <w:tmpl w:val="9D52FA34"/>
    <w:lvl w:ilvl="0">
      <w:start w:val="1"/>
      <w:numFmt w:val="decimal"/>
      <w:lvlText w:val="%1."/>
      <w:lvlJc w:val="left"/>
      <w:pPr>
        <w:tabs>
          <w:tab w:val="num" w:pos="926"/>
        </w:tabs>
        <w:ind w:left="926" w:hanging="360"/>
      </w:pPr>
    </w:lvl>
  </w:abstractNum>
  <w:abstractNum w:abstractNumId="3">
    <w:nsid w:val="FFFFFF7F"/>
    <w:multiLevelType w:val="singleLevel"/>
    <w:tmpl w:val="2F3468D4"/>
    <w:lvl w:ilvl="0">
      <w:start w:val="1"/>
      <w:numFmt w:val="decimal"/>
      <w:lvlText w:val="%1."/>
      <w:lvlJc w:val="left"/>
      <w:pPr>
        <w:tabs>
          <w:tab w:val="num" w:pos="643"/>
        </w:tabs>
        <w:ind w:left="643" w:hanging="360"/>
      </w:pPr>
    </w:lvl>
  </w:abstractNum>
  <w:abstractNum w:abstractNumId="4">
    <w:nsid w:val="FFFFFF80"/>
    <w:multiLevelType w:val="singleLevel"/>
    <w:tmpl w:val="4C302F0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890F8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70A797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146AD8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B98E2B8"/>
    <w:lvl w:ilvl="0">
      <w:start w:val="1"/>
      <w:numFmt w:val="decimal"/>
      <w:lvlText w:val="%1."/>
      <w:lvlJc w:val="left"/>
      <w:pPr>
        <w:tabs>
          <w:tab w:val="num" w:pos="360"/>
        </w:tabs>
        <w:ind w:left="360" w:hanging="360"/>
      </w:pPr>
    </w:lvl>
  </w:abstractNum>
  <w:abstractNum w:abstractNumId="9">
    <w:nsid w:val="FFFFFF89"/>
    <w:multiLevelType w:val="singleLevel"/>
    <w:tmpl w:val="CA303B34"/>
    <w:lvl w:ilvl="0">
      <w:start w:val="1"/>
      <w:numFmt w:val="bullet"/>
      <w:lvlText w:val=""/>
      <w:lvlJc w:val="left"/>
      <w:pPr>
        <w:tabs>
          <w:tab w:val="num" w:pos="360"/>
        </w:tabs>
        <w:ind w:left="360" w:hanging="360"/>
      </w:pPr>
      <w:rPr>
        <w:rFonts w:ascii="Symbol" w:hAnsi="Symbol" w:hint="default"/>
      </w:rPr>
    </w:lvl>
  </w:abstractNum>
  <w:abstractNum w:abstractNumId="10">
    <w:nsid w:val="07322FC5"/>
    <w:multiLevelType w:val="hybridMultilevel"/>
    <w:tmpl w:val="77D492E8"/>
    <w:lvl w:ilvl="0" w:tplc="0F7AFABA">
      <w:start w:val="1"/>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F2F3A71"/>
    <w:multiLevelType w:val="hybridMultilevel"/>
    <w:tmpl w:val="7DA46F0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FFA1E64"/>
    <w:multiLevelType w:val="hybridMultilevel"/>
    <w:tmpl w:val="FD8CA2D8"/>
    <w:lvl w:ilvl="0" w:tplc="10864538">
      <w:start w:val="1"/>
      <w:numFmt w:val="decimal"/>
      <w:lvlText w:val="%1-"/>
      <w:lvlJc w:val="left"/>
      <w:pPr>
        <w:ind w:left="1744" w:hanging="1035"/>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3">
    <w:nsid w:val="10AC5164"/>
    <w:multiLevelType w:val="hybridMultilevel"/>
    <w:tmpl w:val="72743B4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18BC0763"/>
    <w:multiLevelType w:val="hybridMultilevel"/>
    <w:tmpl w:val="0BF86DCE"/>
    <w:lvl w:ilvl="0" w:tplc="51D8215C">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1E4E53DC"/>
    <w:multiLevelType w:val="hybridMultilevel"/>
    <w:tmpl w:val="1F02EBB8"/>
    <w:lvl w:ilvl="0" w:tplc="E4064A06">
      <w:start w:val="1"/>
      <w:numFmt w:val="lowerRoman"/>
      <w:lvlText w:val="(%1)"/>
      <w:lvlJc w:val="left"/>
      <w:pPr>
        <w:ind w:left="1428" w:hanging="72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6">
    <w:nsid w:val="2D25125D"/>
    <w:multiLevelType w:val="hybridMultilevel"/>
    <w:tmpl w:val="533C90EE"/>
    <w:lvl w:ilvl="0" w:tplc="3E78DD0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2FBF7327"/>
    <w:multiLevelType w:val="hybridMultilevel"/>
    <w:tmpl w:val="EFCAC6C6"/>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8">
    <w:nsid w:val="345A1427"/>
    <w:multiLevelType w:val="hybridMultilevel"/>
    <w:tmpl w:val="6458DE30"/>
    <w:lvl w:ilvl="0" w:tplc="7F1CFA1A">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6ED53F2"/>
    <w:multiLevelType w:val="hybridMultilevel"/>
    <w:tmpl w:val="C94C0778"/>
    <w:lvl w:ilvl="0" w:tplc="E82C8528">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nsid w:val="44A835C9"/>
    <w:multiLevelType w:val="hybridMultilevel"/>
    <w:tmpl w:val="3EDCE010"/>
    <w:lvl w:ilvl="0" w:tplc="0F7AFABA">
      <w:start w:val="1"/>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CFF2105"/>
    <w:multiLevelType w:val="hybridMultilevel"/>
    <w:tmpl w:val="8E3AF09E"/>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FE719D2"/>
    <w:multiLevelType w:val="hybridMultilevel"/>
    <w:tmpl w:val="3ADA4EC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51556475"/>
    <w:multiLevelType w:val="hybridMultilevel"/>
    <w:tmpl w:val="35E634EE"/>
    <w:lvl w:ilvl="0" w:tplc="899A6C74">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53412EC6"/>
    <w:multiLevelType w:val="hybridMultilevel"/>
    <w:tmpl w:val="1A26810C"/>
    <w:lvl w:ilvl="0" w:tplc="040C0001">
      <w:start w:val="1"/>
      <w:numFmt w:val="bullet"/>
      <w:lvlText w:val=""/>
      <w:lvlJc w:val="left"/>
      <w:pPr>
        <w:ind w:left="2280" w:hanging="360"/>
      </w:pPr>
      <w:rPr>
        <w:rFonts w:ascii="Symbol" w:hAnsi="Symbol" w:hint="default"/>
      </w:rPr>
    </w:lvl>
    <w:lvl w:ilvl="1" w:tplc="040C0003" w:tentative="1">
      <w:start w:val="1"/>
      <w:numFmt w:val="bullet"/>
      <w:lvlText w:val="o"/>
      <w:lvlJc w:val="left"/>
      <w:pPr>
        <w:ind w:left="3000" w:hanging="360"/>
      </w:pPr>
      <w:rPr>
        <w:rFonts w:ascii="Courier New" w:hAnsi="Courier New" w:cs="Courier New" w:hint="default"/>
      </w:rPr>
    </w:lvl>
    <w:lvl w:ilvl="2" w:tplc="040C0005" w:tentative="1">
      <w:start w:val="1"/>
      <w:numFmt w:val="bullet"/>
      <w:lvlText w:val=""/>
      <w:lvlJc w:val="left"/>
      <w:pPr>
        <w:ind w:left="3720" w:hanging="360"/>
      </w:pPr>
      <w:rPr>
        <w:rFonts w:ascii="Wingdings" w:hAnsi="Wingdings" w:hint="default"/>
      </w:rPr>
    </w:lvl>
    <w:lvl w:ilvl="3" w:tplc="040C0001" w:tentative="1">
      <w:start w:val="1"/>
      <w:numFmt w:val="bullet"/>
      <w:lvlText w:val=""/>
      <w:lvlJc w:val="left"/>
      <w:pPr>
        <w:ind w:left="4440" w:hanging="360"/>
      </w:pPr>
      <w:rPr>
        <w:rFonts w:ascii="Symbol" w:hAnsi="Symbol" w:hint="default"/>
      </w:rPr>
    </w:lvl>
    <w:lvl w:ilvl="4" w:tplc="040C0003" w:tentative="1">
      <w:start w:val="1"/>
      <w:numFmt w:val="bullet"/>
      <w:lvlText w:val="o"/>
      <w:lvlJc w:val="left"/>
      <w:pPr>
        <w:ind w:left="5160" w:hanging="360"/>
      </w:pPr>
      <w:rPr>
        <w:rFonts w:ascii="Courier New" w:hAnsi="Courier New" w:cs="Courier New" w:hint="default"/>
      </w:rPr>
    </w:lvl>
    <w:lvl w:ilvl="5" w:tplc="040C0005" w:tentative="1">
      <w:start w:val="1"/>
      <w:numFmt w:val="bullet"/>
      <w:lvlText w:val=""/>
      <w:lvlJc w:val="left"/>
      <w:pPr>
        <w:ind w:left="5880" w:hanging="360"/>
      </w:pPr>
      <w:rPr>
        <w:rFonts w:ascii="Wingdings" w:hAnsi="Wingdings" w:hint="default"/>
      </w:rPr>
    </w:lvl>
    <w:lvl w:ilvl="6" w:tplc="040C0001" w:tentative="1">
      <w:start w:val="1"/>
      <w:numFmt w:val="bullet"/>
      <w:lvlText w:val=""/>
      <w:lvlJc w:val="left"/>
      <w:pPr>
        <w:ind w:left="6600" w:hanging="360"/>
      </w:pPr>
      <w:rPr>
        <w:rFonts w:ascii="Symbol" w:hAnsi="Symbol" w:hint="default"/>
      </w:rPr>
    </w:lvl>
    <w:lvl w:ilvl="7" w:tplc="040C0003" w:tentative="1">
      <w:start w:val="1"/>
      <w:numFmt w:val="bullet"/>
      <w:lvlText w:val="o"/>
      <w:lvlJc w:val="left"/>
      <w:pPr>
        <w:ind w:left="7320" w:hanging="360"/>
      </w:pPr>
      <w:rPr>
        <w:rFonts w:ascii="Courier New" w:hAnsi="Courier New" w:cs="Courier New" w:hint="default"/>
      </w:rPr>
    </w:lvl>
    <w:lvl w:ilvl="8" w:tplc="040C0005" w:tentative="1">
      <w:start w:val="1"/>
      <w:numFmt w:val="bullet"/>
      <w:lvlText w:val=""/>
      <w:lvlJc w:val="left"/>
      <w:pPr>
        <w:ind w:left="8040" w:hanging="360"/>
      </w:pPr>
      <w:rPr>
        <w:rFonts w:ascii="Wingdings" w:hAnsi="Wingdings" w:hint="default"/>
      </w:rPr>
    </w:lvl>
  </w:abstractNum>
  <w:abstractNum w:abstractNumId="25">
    <w:nsid w:val="5495202D"/>
    <w:multiLevelType w:val="hybridMultilevel"/>
    <w:tmpl w:val="540E0982"/>
    <w:lvl w:ilvl="0" w:tplc="9FCA8A7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76C00EF"/>
    <w:multiLevelType w:val="hybridMultilevel"/>
    <w:tmpl w:val="A574BE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F103AEF"/>
    <w:multiLevelType w:val="singleLevel"/>
    <w:tmpl w:val="5BD8FD3C"/>
    <w:lvl w:ilvl="0">
      <w:start w:val="1"/>
      <w:numFmt w:val="decimal"/>
      <w:pStyle w:val="a"/>
      <w:lvlText w:val="[ %1 ]"/>
      <w:lvlJc w:val="left"/>
      <w:pPr>
        <w:tabs>
          <w:tab w:val="num" w:pos="720"/>
        </w:tabs>
        <w:ind w:left="360" w:hanging="360"/>
      </w:pPr>
    </w:lvl>
  </w:abstractNum>
  <w:abstractNum w:abstractNumId="28">
    <w:nsid w:val="6942555A"/>
    <w:multiLevelType w:val="hybridMultilevel"/>
    <w:tmpl w:val="29620A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746E6B02"/>
    <w:multiLevelType w:val="hybridMultilevel"/>
    <w:tmpl w:val="E48C6CA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7A0E4F88"/>
    <w:multiLevelType w:val="hybridMultilevel"/>
    <w:tmpl w:val="A2EA5E0A"/>
    <w:lvl w:ilvl="0" w:tplc="4008F682">
      <w:start w:val="1"/>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19"/>
  </w:num>
  <w:num w:numId="4">
    <w:abstractNumId w:val="15"/>
  </w:num>
  <w:num w:numId="5">
    <w:abstractNumId w:val="25"/>
  </w:num>
  <w:num w:numId="6">
    <w:abstractNumId w:val="23"/>
  </w:num>
  <w:num w:numId="7">
    <w:abstractNumId w:val="27"/>
  </w:num>
  <w:num w:numId="8">
    <w:abstractNumId w:val="30"/>
  </w:num>
  <w:num w:numId="9">
    <w:abstractNumId w:val="10"/>
  </w:num>
  <w:num w:numId="10">
    <w:abstractNumId w:val="20"/>
  </w:num>
  <w:num w:numId="11">
    <w:abstractNumId w:val="14"/>
  </w:num>
  <w:num w:numId="12">
    <w:abstractNumId w:val="18"/>
  </w:num>
  <w:num w:numId="13">
    <w:abstractNumId w:val="28"/>
  </w:num>
  <w:num w:numId="14">
    <w:abstractNumId w:val="13"/>
  </w:num>
  <w:num w:numId="15">
    <w:abstractNumId w:val="29"/>
  </w:num>
  <w:num w:numId="16">
    <w:abstractNumId w:val="8"/>
  </w:num>
  <w:num w:numId="17">
    <w:abstractNumId w:val="3"/>
  </w:num>
  <w:num w:numId="18">
    <w:abstractNumId w:val="2"/>
  </w:num>
  <w:num w:numId="19">
    <w:abstractNumId w:val="1"/>
  </w:num>
  <w:num w:numId="20">
    <w:abstractNumId w:val="0"/>
  </w:num>
  <w:num w:numId="21">
    <w:abstractNumId w:val="9"/>
  </w:num>
  <w:num w:numId="22">
    <w:abstractNumId w:val="7"/>
  </w:num>
  <w:num w:numId="23">
    <w:abstractNumId w:val="6"/>
  </w:num>
  <w:num w:numId="24">
    <w:abstractNumId w:val="5"/>
  </w:num>
  <w:num w:numId="25">
    <w:abstractNumId w:val="4"/>
  </w:num>
  <w:num w:numId="26">
    <w:abstractNumId w:val="22"/>
  </w:num>
  <w:num w:numId="27">
    <w:abstractNumId w:val="24"/>
  </w:num>
  <w:num w:numId="28">
    <w:abstractNumId w:val="17"/>
  </w:num>
  <w:num w:numId="29">
    <w:abstractNumId w:val="12"/>
  </w:num>
  <w:num w:numId="30">
    <w:abstractNumId w:val="26"/>
  </w:num>
  <w:num w:numId="31">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B1687C"/>
    <w:rsid w:val="00005CA9"/>
    <w:rsid w:val="00035B20"/>
    <w:rsid w:val="0006448F"/>
    <w:rsid w:val="000940C4"/>
    <w:rsid w:val="000A0A39"/>
    <w:rsid w:val="000B6FAC"/>
    <w:rsid w:val="000B6FFA"/>
    <w:rsid w:val="000D40C5"/>
    <w:rsid w:val="000F0B04"/>
    <w:rsid w:val="000F6937"/>
    <w:rsid w:val="0011039E"/>
    <w:rsid w:val="00111D80"/>
    <w:rsid w:val="00137F46"/>
    <w:rsid w:val="00140405"/>
    <w:rsid w:val="00160E68"/>
    <w:rsid w:val="00182D9B"/>
    <w:rsid w:val="001E0419"/>
    <w:rsid w:val="00226168"/>
    <w:rsid w:val="002631E8"/>
    <w:rsid w:val="002702C0"/>
    <w:rsid w:val="00285493"/>
    <w:rsid w:val="00285A97"/>
    <w:rsid w:val="002A07B4"/>
    <w:rsid w:val="002D65EA"/>
    <w:rsid w:val="002E70AF"/>
    <w:rsid w:val="002F3B84"/>
    <w:rsid w:val="00326757"/>
    <w:rsid w:val="0035434E"/>
    <w:rsid w:val="0035541F"/>
    <w:rsid w:val="00363298"/>
    <w:rsid w:val="00370FE2"/>
    <w:rsid w:val="003748AE"/>
    <w:rsid w:val="003A7EF5"/>
    <w:rsid w:val="00402393"/>
    <w:rsid w:val="004036CB"/>
    <w:rsid w:val="00410F0A"/>
    <w:rsid w:val="0044726B"/>
    <w:rsid w:val="00452127"/>
    <w:rsid w:val="00476481"/>
    <w:rsid w:val="00480321"/>
    <w:rsid w:val="004822AD"/>
    <w:rsid w:val="00494758"/>
    <w:rsid w:val="004A492B"/>
    <w:rsid w:val="004B22C6"/>
    <w:rsid w:val="004B6F1A"/>
    <w:rsid w:val="004D039C"/>
    <w:rsid w:val="004D419A"/>
    <w:rsid w:val="004E6D5A"/>
    <w:rsid w:val="004F4FD6"/>
    <w:rsid w:val="005126A5"/>
    <w:rsid w:val="005262C1"/>
    <w:rsid w:val="00541F0F"/>
    <w:rsid w:val="00585496"/>
    <w:rsid w:val="005913EC"/>
    <w:rsid w:val="005A4B37"/>
    <w:rsid w:val="005F266E"/>
    <w:rsid w:val="00615041"/>
    <w:rsid w:val="006334F0"/>
    <w:rsid w:val="006540D6"/>
    <w:rsid w:val="00664F95"/>
    <w:rsid w:val="006C651F"/>
    <w:rsid w:val="006E08CA"/>
    <w:rsid w:val="006E1A63"/>
    <w:rsid w:val="007224C7"/>
    <w:rsid w:val="00723A0D"/>
    <w:rsid w:val="00756FC8"/>
    <w:rsid w:val="0076148A"/>
    <w:rsid w:val="00787432"/>
    <w:rsid w:val="007A17BB"/>
    <w:rsid w:val="007A4A72"/>
    <w:rsid w:val="007D7C1A"/>
    <w:rsid w:val="007E115F"/>
    <w:rsid w:val="007E21A2"/>
    <w:rsid w:val="00802202"/>
    <w:rsid w:val="00804464"/>
    <w:rsid w:val="00816009"/>
    <w:rsid w:val="00845569"/>
    <w:rsid w:val="00855F6C"/>
    <w:rsid w:val="00895FD4"/>
    <w:rsid w:val="008B390C"/>
    <w:rsid w:val="008D3141"/>
    <w:rsid w:val="008E7B3C"/>
    <w:rsid w:val="00953467"/>
    <w:rsid w:val="009951A9"/>
    <w:rsid w:val="009A100E"/>
    <w:rsid w:val="009D479F"/>
    <w:rsid w:val="00A06796"/>
    <w:rsid w:val="00A10852"/>
    <w:rsid w:val="00A204E6"/>
    <w:rsid w:val="00A42E7C"/>
    <w:rsid w:val="00A434A7"/>
    <w:rsid w:val="00A76D35"/>
    <w:rsid w:val="00A85789"/>
    <w:rsid w:val="00A85D62"/>
    <w:rsid w:val="00A95691"/>
    <w:rsid w:val="00AA484C"/>
    <w:rsid w:val="00AB417E"/>
    <w:rsid w:val="00AD0DDC"/>
    <w:rsid w:val="00B1687C"/>
    <w:rsid w:val="00B24A8F"/>
    <w:rsid w:val="00B34B7F"/>
    <w:rsid w:val="00B35AC2"/>
    <w:rsid w:val="00B77BED"/>
    <w:rsid w:val="00B855D9"/>
    <w:rsid w:val="00B86F5C"/>
    <w:rsid w:val="00B95DD1"/>
    <w:rsid w:val="00C07E99"/>
    <w:rsid w:val="00C368E7"/>
    <w:rsid w:val="00C446DF"/>
    <w:rsid w:val="00C82ACA"/>
    <w:rsid w:val="00CA6266"/>
    <w:rsid w:val="00CC3EDA"/>
    <w:rsid w:val="00CD7A76"/>
    <w:rsid w:val="00CF577D"/>
    <w:rsid w:val="00D2168B"/>
    <w:rsid w:val="00D26EA4"/>
    <w:rsid w:val="00D33A26"/>
    <w:rsid w:val="00D33BC9"/>
    <w:rsid w:val="00D35E76"/>
    <w:rsid w:val="00D40741"/>
    <w:rsid w:val="00D5518E"/>
    <w:rsid w:val="00D70296"/>
    <w:rsid w:val="00D7248E"/>
    <w:rsid w:val="00DA3D2B"/>
    <w:rsid w:val="00DC06C2"/>
    <w:rsid w:val="00DC303A"/>
    <w:rsid w:val="00DC38C6"/>
    <w:rsid w:val="00E1747D"/>
    <w:rsid w:val="00E24540"/>
    <w:rsid w:val="00E37D2B"/>
    <w:rsid w:val="00E53D55"/>
    <w:rsid w:val="00E61959"/>
    <w:rsid w:val="00E962E7"/>
    <w:rsid w:val="00EA1145"/>
    <w:rsid w:val="00EB591A"/>
    <w:rsid w:val="00EF6ABD"/>
    <w:rsid w:val="00F7441D"/>
    <w:rsid w:val="00FA0936"/>
    <w:rsid w:val="00FA5943"/>
    <w:rsid w:val="00FC4FEF"/>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651F"/>
  </w:style>
  <w:style w:type="paragraph" w:styleId="1">
    <w:name w:val="heading 1"/>
    <w:basedOn w:val="a0"/>
    <w:next w:val="a0"/>
    <w:link w:val="1Char"/>
    <w:qFormat/>
    <w:rsid w:val="00111D80"/>
    <w:pPr>
      <w:keepNext/>
      <w:keepLines/>
      <w:spacing w:before="480" w:after="0"/>
      <w:outlineLvl w:val="0"/>
    </w:pPr>
    <w:rPr>
      <w:rFonts w:ascii="Cambria" w:eastAsia="Times New Roman" w:hAnsi="Cambria" w:cs="Times New Roman"/>
      <w:b/>
      <w:bCs/>
      <w:color w:val="365F91"/>
      <w:sz w:val="28"/>
      <w:szCs w:val="28"/>
    </w:rPr>
  </w:style>
  <w:style w:type="paragraph" w:styleId="2">
    <w:name w:val="heading 2"/>
    <w:basedOn w:val="a0"/>
    <w:next w:val="a0"/>
    <w:link w:val="2Char"/>
    <w:qFormat/>
    <w:rsid w:val="00111D80"/>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0"/>
    <w:next w:val="a0"/>
    <w:link w:val="3Char"/>
    <w:qFormat/>
    <w:rsid w:val="00111D80"/>
    <w:pPr>
      <w:keepNext/>
      <w:keepLines/>
      <w:spacing w:before="200" w:after="0"/>
      <w:outlineLvl w:val="2"/>
    </w:pPr>
    <w:rPr>
      <w:rFonts w:ascii="Cambria" w:eastAsia="Times New Roman" w:hAnsi="Cambria" w:cs="Times New Roman"/>
      <w:b/>
      <w:bCs/>
      <w:color w:val="4F81BD"/>
    </w:rPr>
  </w:style>
  <w:style w:type="paragraph" w:styleId="4">
    <w:name w:val="heading 4"/>
    <w:basedOn w:val="a0"/>
    <w:next w:val="a0"/>
    <w:link w:val="4Char"/>
    <w:qFormat/>
    <w:rsid w:val="00111D80"/>
    <w:pPr>
      <w:keepNext/>
      <w:keepLines/>
      <w:spacing w:before="200" w:after="0"/>
      <w:outlineLvl w:val="3"/>
    </w:pPr>
    <w:rPr>
      <w:rFonts w:ascii="Cambria" w:eastAsia="Times New Roman" w:hAnsi="Cambria" w:cs="Times New Roman"/>
      <w:b/>
      <w:bCs/>
      <w:i/>
      <w:iCs/>
      <w:color w:val="4F81BD"/>
    </w:rPr>
  </w:style>
  <w:style w:type="paragraph" w:styleId="5">
    <w:name w:val="heading 5"/>
    <w:basedOn w:val="a0"/>
    <w:next w:val="a0"/>
    <w:link w:val="5Char"/>
    <w:qFormat/>
    <w:rsid w:val="00111D80"/>
    <w:pPr>
      <w:keepNext/>
      <w:tabs>
        <w:tab w:val="left" w:pos="0"/>
      </w:tabs>
      <w:spacing w:before="60" w:after="60" w:line="360" w:lineRule="auto"/>
      <w:jc w:val="center"/>
      <w:outlineLvl w:val="4"/>
    </w:pPr>
    <w:rPr>
      <w:rFonts w:ascii="Times New Roman" w:eastAsia="Calibri" w:hAnsi="Times New Roman" w:cs="Times New Roman"/>
      <w:b/>
      <w:iCs/>
      <w:color w:val="000000"/>
      <w:sz w:val="24"/>
      <w:szCs w:val="24"/>
    </w:rPr>
  </w:style>
  <w:style w:type="paragraph" w:styleId="8">
    <w:name w:val="heading 8"/>
    <w:basedOn w:val="a0"/>
    <w:next w:val="a0"/>
    <w:link w:val="8Char"/>
    <w:qFormat/>
    <w:rsid w:val="00111D80"/>
    <w:pPr>
      <w:spacing w:before="240" w:after="60"/>
      <w:outlineLvl w:val="7"/>
    </w:pPr>
    <w:rPr>
      <w:rFonts w:ascii="Times New Roman" w:eastAsia="Calibri" w:hAnsi="Times New Roman" w:cs="Times New Roman"/>
      <w:i/>
      <w:iCs/>
      <w:sz w:val="24"/>
      <w:szCs w:val="24"/>
    </w:rPr>
  </w:style>
  <w:style w:type="paragraph" w:styleId="9">
    <w:name w:val="heading 9"/>
    <w:basedOn w:val="a0"/>
    <w:next w:val="a0"/>
    <w:link w:val="9Char"/>
    <w:qFormat/>
    <w:rsid w:val="00111D80"/>
    <w:pPr>
      <w:spacing w:before="240" w:after="60"/>
      <w:outlineLvl w:val="8"/>
    </w:pPr>
    <w:rPr>
      <w:rFonts w:ascii="Arial" w:eastAsia="Calibri" w:hAnsi="Arial" w:cs="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عنوان 1 Char"/>
    <w:basedOn w:val="a1"/>
    <w:link w:val="1"/>
    <w:rsid w:val="00111D80"/>
    <w:rPr>
      <w:rFonts w:ascii="Cambria" w:eastAsia="Times New Roman" w:hAnsi="Cambria" w:cs="Times New Roman"/>
      <w:b/>
      <w:bCs/>
      <w:color w:val="365F91"/>
      <w:sz w:val="28"/>
      <w:szCs w:val="28"/>
    </w:rPr>
  </w:style>
  <w:style w:type="character" w:customStyle="1" w:styleId="2Char">
    <w:name w:val="عنوان 2 Char"/>
    <w:basedOn w:val="a1"/>
    <w:link w:val="2"/>
    <w:rsid w:val="00111D80"/>
    <w:rPr>
      <w:rFonts w:ascii="Cambria" w:eastAsia="Times New Roman" w:hAnsi="Cambria" w:cs="Times New Roman"/>
      <w:b/>
      <w:bCs/>
      <w:color w:val="4F81BD"/>
      <w:sz w:val="26"/>
      <w:szCs w:val="26"/>
    </w:rPr>
  </w:style>
  <w:style w:type="character" w:customStyle="1" w:styleId="3Char">
    <w:name w:val="عنوان 3 Char"/>
    <w:basedOn w:val="a1"/>
    <w:link w:val="3"/>
    <w:rsid w:val="00111D80"/>
    <w:rPr>
      <w:rFonts w:ascii="Cambria" w:eastAsia="Times New Roman" w:hAnsi="Cambria" w:cs="Times New Roman"/>
      <w:b/>
      <w:bCs/>
      <w:color w:val="4F81BD"/>
    </w:rPr>
  </w:style>
  <w:style w:type="character" w:customStyle="1" w:styleId="4Char">
    <w:name w:val="عنوان 4 Char"/>
    <w:basedOn w:val="a1"/>
    <w:link w:val="4"/>
    <w:rsid w:val="00111D80"/>
    <w:rPr>
      <w:rFonts w:ascii="Cambria" w:eastAsia="Times New Roman" w:hAnsi="Cambria" w:cs="Times New Roman"/>
      <w:b/>
      <w:bCs/>
      <w:i/>
      <w:iCs/>
      <w:color w:val="4F81BD"/>
    </w:rPr>
  </w:style>
  <w:style w:type="character" w:customStyle="1" w:styleId="5Char">
    <w:name w:val="عنوان 5 Char"/>
    <w:basedOn w:val="a1"/>
    <w:link w:val="5"/>
    <w:rsid w:val="00111D80"/>
    <w:rPr>
      <w:rFonts w:ascii="Times New Roman" w:eastAsia="Calibri" w:hAnsi="Times New Roman" w:cs="Times New Roman"/>
      <w:b/>
      <w:iCs/>
      <w:color w:val="000000"/>
      <w:sz w:val="24"/>
      <w:szCs w:val="24"/>
    </w:rPr>
  </w:style>
  <w:style w:type="character" w:customStyle="1" w:styleId="8Char">
    <w:name w:val="عنوان 8 Char"/>
    <w:basedOn w:val="a1"/>
    <w:link w:val="8"/>
    <w:rsid w:val="00111D80"/>
    <w:rPr>
      <w:rFonts w:ascii="Times New Roman" w:eastAsia="Calibri" w:hAnsi="Times New Roman" w:cs="Times New Roman"/>
      <w:i/>
      <w:iCs/>
      <w:sz w:val="24"/>
      <w:szCs w:val="24"/>
    </w:rPr>
  </w:style>
  <w:style w:type="character" w:customStyle="1" w:styleId="9Char">
    <w:name w:val="عنوان 9 Char"/>
    <w:basedOn w:val="a1"/>
    <w:link w:val="9"/>
    <w:rsid w:val="00111D80"/>
    <w:rPr>
      <w:rFonts w:ascii="Arial" w:eastAsia="Calibri" w:hAnsi="Arial" w:cs="Arial"/>
    </w:rPr>
  </w:style>
  <w:style w:type="character" w:styleId="Hyperlink">
    <w:name w:val="Hyperlink"/>
    <w:basedOn w:val="a1"/>
    <w:semiHidden/>
    <w:unhideWhenUsed/>
    <w:rsid w:val="00111D80"/>
    <w:rPr>
      <w:strike w:val="0"/>
      <w:dstrike w:val="0"/>
      <w:color w:val="002BB8"/>
      <w:u w:val="none"/>
      <w:effect w:val="none"/>
    </w:rPr>
  </w:style>
  <w:style w:type="paragraph" w:styleId="a4">
    <w:name w:val="Normal (Web)"/>
    <w:basedOn w:val="a0"/>
    <w:semiHidden/>
    <w:unhideWhenUsed/>
    <w:rsid w:val="00111D80"/>
    <w:pPr>
      <w:spacing w:before="96" w:after="120" w:line="360" w:lineRule="atLeast"/>
    </w:pPr>
    <w:rPr>
      <w:rFonts w:ascii="Times New Roman" w:eastAsia="Times New Roman" w:hAnsi="Times New Roman" w:cs="Times New Roman"/>
      <w:sz w:val="24"/>
      <w:szCs w:val="24"/>
      <w:lang w:eastAsia="fr-FR"/>
    </w:rPr>
  </w:style>
  <w:style w:type="character" w:customStyle="1" w:styleId="lang-grc">
    <w:name w:val="lang-grc"/>
    <w:basedOn w:val="a1"/>
    <w:rsid w:val="00111D80"/>
  </w:style>
  <w:style w:type="paragraph" w:styleId="a5">
    <w:name w:val="Balloon Text"/>
    <w:basedOn w:val="a0"/>
    <w:link w:val="Char"/>
    <w:semiHidden/>
    <w:unhideWhenUsed/>
    <w:rsid w:val="00111D80"/>
    <w:pPr>
      <w:spacing w:after="0" w:line="240" w:lineRule="auto"/>
    </w:pPr>
    <w:rPr>
      <w:rFonts w:ascii="Tahoma" w:eastAsia="Calibri" w:hAnsi="Tahoma" w:cs="Tahoma"/>
      <w:sz w:val="16"/>
      <w:szCs w:val="16"/>
    </w:rPr>
  </w:style>
  <w:style w:type="character" w:customStyle="1" w:styleId="Char">
    <w:name w:val="نص في بالون Char"/>
    <w:basedOn w:val="a1"/>
    <w:link w:val="a5"/>
    <w:semiHidden/>
    <w:rsid w:val="00111D80"/>
    <w:rPr>
      <w:rFonts w:ascii="Tahoma" w:eastAsia="Calibri" w:hAnsi="Tahoma" w:cs="Tahoma"/>
      <w:sz w:val="16"/>
      <w:szCs w:val="16"/>
    </w:rPr>
  </w:style>
  <w:style w:type="character" w:customStyle="1" w:styleId="CarCar3">
    <w:name w:val="Car Car3"/>
    <w:basedOn w:val="a1"/>
    <w:semiHidden/>
    <w:rsid w:val="00111D80"/>
    <w:rPr>
      <w:rFonts w:ascii="Tahoma" w:hAnsi="Tahoma" w:cs="Tahoma"/>
      <w:sz w:val="16"/>
      <w:szCs w:val="16"/>
    </w:rPr>
  </w:style>
  <w:style w:type="paragraph" w:styleId="a6">
    <w:name w:val="List Paragraph"/>
    <w:basedOn w:val="a0"/>
    <w:uiPriority w:val="34"/>
    <w:qFormat/>
    <w:rsid w:val="00111D80"/>
    <w:pPr>
      <w:ind w:left="720"/>
      <w:contextualSpacing/>
    </w:pPr>
    <w:rPr>
      <w:rFonts w:ascii="Calibri" w:eastAsia="Calibri" w:hAnsi="Calibri" w:cs="Times New Roman"/>
    </w:rPr>
  </w:style>
  <w:style w:type="character" w:styleId="a7">
    <w:name w:val="Placeholder Text"/>
    <w:basedOn w:val="a1"/>
    <w:semiHidden/>
    <w:rsid w:val="00111D80"/>
    <w:rPr>
      <w:color w:val="808080"/>
    </w:rPr>
  </w:style>
  <w:style w:type="character" w:customStyle="1" w:styleId="CarCar7">
    <w:name w:val="Car Car7"/>
    <w:basedOn w:val="a1"/>
    <w:rsid w:val="00111D80"/>
    <w:rPr>
      <w:rFonts w:ascii="Cambria" w:eastAsia="Times New Roman" w:hAnsi="Cambria" w:cs="Times New Roman"/>
      <w:b/>
      <w:bCs/>
      <w:color w:val="365F91"/>
      <w:sz w:val="28"/>
      <w:szCs w:val="28"/>
    </w:rPr>
  </w:style>
  <w:style w:type="character" w:customStyle="1" w:styleId="CarCar6">
    <w:name w:val="Car Car6"/>
    <w:basedOn w:val="a1"/>
    <w:rsid w:val="00111D80"/>
    <w:rPr>
      <w:rFonts w:ascii="Cambria" w:eastAsia="Times New Roman" w:hAnsi="Cambria" w:cs="Times New Roman"/>
      <w:b/>
      <w:bCs/>
      <w:color w:val="4F81BD"/>
      <w:sz w:val="26"/>
      <w:szCs w:val="26"/>
    </w:rPr>
  </w:style>
  <w:style w:type="paragraph" w:styleId="a8">
    <w:name w:val="header"/>
    <w:basedOn w:val="a0"/>
    <w:link w:val="Char0"/>
    <w:uiPriority w:val="99"/>
    <w:unhideWhenUsed/>
    <w:rsid w:val="00111D80"/>
    <w:pPr>
      <w:tabs>
        <w:tab w:val="center" w:pos="4536"/>
        <w:tab w:val="right" w:pos="9072"/>
      </w:tabs>
      <w:spacing w:after="0" w:line="240" w:lineRule="auto"/>
    </w:pPr>
    <w:rPr>
      <w:rFonts w:ascii="Calibri" w:eastAsia="Calibri" w:hAnsi="Calibri" w:cs="Times New Roman"/>
    </w:rPr>
  </w:style>
  <w:style w:type="character" w:customStyle="1" w:styleId="Char0">
    <w:name w:val="رأس صفحة Char"/>
    <w:basedOn w:val="a1"/>
    <w:link w:val="a8"/>
    <w:uiPriority w:val="99"/>
    <w:rsid w:val="00111D80"/>
    <w:rPr>
      <w:rFonts w:ascii="Calibri" w:eastAsia="Calibri" w:hAnsi="Calibri" w:cs="Times New Roman"/>
    </w:rPr>
  </w:style>
  <w:style w:type="character" w:customStyle="1" w:styleId="CarCar2">
    <w:name w:val="Car Car2"/>
    <w:basedOn w:val="a1"/>
    <w:rsid w:val="00111D80"/>
  </w:style>
  <w:style w:type="paragraph" w:styleId="a9">
    <w:name w:val="footer"/>
    <w:basedOn w:val="a0"/>
    <w:link w:val="Char1"/>
    <w:uiPriority w:val="99"/>
    <w:unhideWhenUsed/>
    <w:rsid w:val="00111D80"/>
    <w:pPr>
      <w:tabs>
        <w:tab w:val="center" w:pos="4536"/>
        <w:tab w:val="right" w:pos="9072"/>
      </w:tabs>
      <w:spacing w:after="0" w:line="240" w:lineRule="auto"/>
    </w:pPr>
    <w:rPr>
      <w:rFonts w:ascii="Calibri" w:eastAsia="Calibri" w:hAnsi="Calibri" w:cs="Times New Roman"/>
    </w:rPr>
  </w:style>
  <w:style w:type="character" w:customStyle="1" w:styleId="Char1">
    <w:name w:val="تذييل صفحة Char"/>
    <w:basedOn w:val="a1"/>
    <w:link w:val="a9"/>
    <w:uiPriority w:val="99"/>
    <w:rsid w:val="00111D80"/>
    <w:rPr>
      <w:rFonts w:ascii="Calibri" w:eastAsia="Calibri" w:hAnsi="Calibri" w:cs="Times New Roman"/>
    </w:rPr>
  </w:style>
  <w:style w:type="character" w:customStyle="1" w:styleId="CarCar1">
    <w:name w:val="Car Car1"/>
    <w:basedOn w:val="a1"/>
    <w:rsid w:val="00111D80"/>
  </w:style>
  <w:style w:type="character" w:styleId="aa">
    <w:name w:val="endnote reference"/>
    <w:basedOn w:val="a1"/>
    <w:semiHidden/>
    <w:rsid w:val="00111D80"/>
    <w:rPr>
      <w:vertAlign w:val="superscript"/>
    </w:rPr>
  </w:style>
  <w:style w:type="paragraph" w:styleId="a">
    <w:name w:val="endnote text"/>
    <w:basedOn w:val="a0"/>
    <w:link w:val="Char2"/>
    <w:semiHidden/>
    <w:rsid w:val="00111D80"/>
    <w:pPr>
      <w:numPr>
        <w:numId w:val="7"/>
      </w:numPr>
      <w:spacing w:after="0" w:line="240" w:lineRule="auto"/>
    </w:pPr>
    <w:rPr>
      <w:rFonts w:ascii="Times New Roman" w:eastAsia="SimSun" w:hAnsi="Times New Roman" w:cs="Times New Roman"/>
      <w:sz w:val="20"/>
      <w:szCs w:val="20"/>
      <w:lang w:eastAsia="zh-CN"/>
    </w:rPr>
  </w:style>
  <w:style w:type="character" w:customStyle="1" w:styleId="Char2">
    <w:name w:val="نص تعليق ختامي Char"/>
    <w:basedOn w:val="a1"/>
    <w:link w:val="a"/>
    <w:semiHidden/>
    <w:rsid w:val="00111D80"/>
    <w:rPr>
      <w:rFonts w:ascii="Times New Roman" w:eastAsia="SimSun" w:hAnsi="Times New Roman" w:cs="Times New Roman"/>
      <w:sz w:val="20"/>
      <w:szCs w:val="20"/>
      <w:lang w:eastAsia="zh-CN"/>
    </w:rPr>
  </w:style>
  <w:style w:type="character" w:customStyle="1" w:styleId="CarCar">
    <w:name w:val="Car Car"/>
    <w:basedOn w:val="a1"/>
    <w:rsid w:val="00111D80"/>
    <w:rPr>
      <w:rFonts w:ascii="Times New Roman" w:eastAsia="SimSun" w:hAnsi="Times New Roman" w:cs="Times New Roman"/>
      <w:sz w:val="20"/>
      <w:szCs w:val="20"/>
      <w:lang w:eastAsia="zh-CN"/>
    </w:rPr>
  </w:style>
  <w:style w:type="paragraph" w:styleId="ab">
    <w:name w:val="caption"/>
    <w:basedOn w:val="a0"/>
    <w:next w:val="a0"/>
    <w:qFormat/>
    <w:rsid w:val="00111D80"/>
    <w:pPr>
      <w:spacing w:before="120" w:after="120" w:line="240" w:lineRule="auto"/>
    </w:pPr>
    <w:rPr>
      <w:rFonts w:ascii="Times New Roman" w:eastAsia="SimSun" w:hAnsi="Times New Roman" w:cs="Times New Roman"/>
      <w:b/>
      <w:sz w:val="20"/>
      <w:szCs w:val="20"/>
      <w:lang w:eastAsia="zh-CN"/>
    </w:rPr>
  </w:style>
  <w:style w:type="character" w:customStyle="1" w:styleId="CarCar4">
    <w:name w:val="Car Car4"/>
    <w:basedOn w:val="a1"/>
    <w:semiHidden/>
    <w:rsid w:val="00111D80"/>
    <w:rPr>
      <w:rFonts w:ascii="Cambria" w:eastAsia="Times New Roman" w:hAnsi="Cambria" w:cs="Times New Roman"/>
      <w:b/>
      <w:bCs/>
      <w:i/>
      <w:iCs/>
      <w:color w:val="4F81BD"/>
    </w:rPr>
  </w:style>
  <w:style w:type="character" w:customStyle="1" w:styleId="CarCar5">
    <w:name w:val="Car Car5"/>
    <w:basedOn w:val="a1"/>
    <w:rsid w:val="00111D80"/>
    <w:rPr>
      <w:rFonts w:ascii="Cambria" w:eastAsia="Times New Roman" w:hAnsi="Cambria" w:cs="Times New Roman"/>
      <w:b/>
      <w:bCs/>
      <w:color w:val="4F81BD"/>
    </w:rPr>
  </w:style>
  <w:style w:type="paragraph" w:styleId="ac">
    <w:name w:val="Body Text Indent"/>
    <w:basedOn w:val="a0"/>
    <w:link w:val="Char3"/>
    <w:semiHidden/>
    <w:rsid w:val="00111D80"/>
    <w:pPr>
      <w:spacing w:after="0" w:line="240" w:lineRule="auto"/>
      <w:ind w:firstLine="709"/>
      <w:jc w:val="center"/>
    </w:pPr>
    <w:rPr>
      <w:rFonts w:ascii="Times New Roman" w:eastAsia="Times New Roman" w:hAnsi="Times New Roman" w:cs="Times New Roman"/>
      <w:b/>
      <w:bCs/>
      <w:i/>
      <w:iCs/>
      <w:sz w:val="48"/>
      <w:szCs w:val="48"/>
      <w:lang w:eastAsia="fr-FR"/>
    </w:rPr>
  </w:style>
  <w:style w:type="character" w:customStyle="1" w:styleId="Char3">
    <w:name w:val="نص أساسي بمسافة بادئة Char"/>
    <w:basedOn w:val="a1"/>
    <w:link w:val="ac"/>
    <w:semiHidden/>
    <w:rsid w:val="00111D80"/>
    <w:rPr>
      <w:rFonts w:ascii="Times New Roman" w:eastAsia="Times New Roman" w:hAnsi="Times New Roman" w:cs="Times New Roman"/>
      <w:b/>
      <w:bCs/>
      <w:i/>
      <w:iCs/>
      <w:sz w:val="48"/>
      <w:szCs w:val="48"/>
      <w:lang w:eastAsia="fr-FR"/>
    </w:rPr>
  </w:style>
  <w:style w:type="character" w:styleId="ad">
    <w:name w:val="page number"/>
    <w:basedOn w:val="a1"/>
    <w:semiHidden/>
    <w:rsid w:val="00111D80"/>
  </w:style>
  <w:style w:type="paragraph" w:styleId="ae">
    <w:name w:val="Body Text"/>
    <w:basedOn w:val="a0"/>
    <w:link w:val="Char4"/>
    <w:semiHidden/>
    <w:rsid w:val="00111D80"/>
    <w:pPr>
      <w:spacing w:after="120"/>
    </w:pPr>
    <w:rPr>
      <w:rFonts w:ascii="Calibri" w:eastAsia="Calibri" w:hAnsi="Calibri" w:cs="Times New Roman"/>
    </w:rPr>
  </w:style>
  <w:style w:type="character" w:customStyle="1" w:styleId="Char4">
    <w:name w:val="نص أساسي Char"/>
    <w:basedOn w:val="a1"/>
    <w:link w:val="ae"/>
    <w:semiHidden/>
    <w:rsid w:val="00111D80"/>
    <w:rPr>
      <w:rFonts w:ascii="Calibri" w:eastAsia="Calibri" w:hAnsi="Calibri" w:cs="Times New Roman"/>
    </w:rPr>
  </w:style>
  <w:style w:type="paragraph" w:styleId="20">
    <w:name w:val="Body Text 2"/>
    <w:basedOn w:val="a0"/>
    <w:link w:val="2Char0"/>
    <w:semiHidden/>
    <w:rsid w:val="00111D80"/>
    <w:pPr>
      <w:spacing w:after="120" w:line="480" w:lineRule="auto"/>
    </w:pPr>
    <w:rPr>
      <w:rFonts w:ascii="Calibri" w:eastAsia="Calibri" w:hAnsi="Calibri" w:cs="Times New Roman"/>
    </w:rPr>
  </w:style>
  <w:style w:type="character" w:customStyle="1" w:styleId="2Char0">
    <w:name w:val="نص أساسي 2 Char"/>
    <w:basedOn w:val="a1"/>
    <w:link w:val="20"/>
    <w:semiHidden/>
    <w:rsid w:val="00111D80"/>
    <w:rPr>
      <w:rFonts w:ascii="Calibri" w:eastAsia="Calibri" w:hAnsi="Calibri" w:cs="Times New Roman"/>
    </w:rPr>
  </w:style>
  <w:style w:type="paragraph" w:customStyle="1" w:styleId="5ligneCar">
    <w:name w:val="5 ligne Car"/>
    <w:basedOn w:val="a0"/>
    <w:rsid w:val="00111D80"/>
    <w:pPr>
      <w:spacing w:after="0" w:line="240" w:lineRule="auto"/>
      <w:jc w:val="center"/>
    </w:pPr>
    <w:rPr>
      <w:rFonts w:ascii="Times New Roman" w:eastAsia="Times New Roman" w:hAnsi="Times New Roman" w:cs="Times New Roman"/>
      <w:b/>
      <w:bCs/>
      <w:sz w:val="24"/>
      <w:szCs w:val="24"/>
      <w:lang w:eastAsia="fr-FR"/>
    </w:rPr>
  </w:style>
  <w:style w:type="paragraph" w:styleId="af">
    <w:name w:val="Title"/>
    <w:basedOn w:val="a0"/>
    <w:link w:val="Char5"/>
    <w:qFormat/>
    <w:rsid w:val="00111D80"/>
    <w:pPr>
      <w:spacing w:after="0" w:line="240" w:lineRule="auto"/>
      <w:jc w:val="center"/>
    </w:pPr>
    <w:rPr>
      <w:rFonts w:ascii="Times New Roman" w:eastAsia="Times New Roman" w:hAnsi="Times New Roman" w:cs="Times New Roman"/>
      <w:b/>
      <w:bCs/>
      <w:sz w:val="28"/>
      <w:szCs w:val="24"/>
      <w:lang w:eastAsia="fr-FR"/>
    </w:rPr>
  </w:style>
  <w:style w:type="character" w:customStyle="1" w:styleId="Char5">
    <w:name w:val="العنوان Char"/>
    <w:basedOn w:val="a1"/>
    <w:link w:val="af"/>
    <w:rsid w:val="00111D80"/>
    <w:rPr>
      <w:rFonts w:ascii="Times New Roman" w:eastAsia="Times New Roman" w:hAnsi="Times New Roman" w:cs="Times New Roman"/>
      <w:b/>
      <w:bCs/>
      <w:sz w:val="28"/>
      <w:szCs w:val="24"/>
      <w:lang w:eastAsia="fr-FR"/>
    </w:rPr>
  </w:style>
  <w:style w:type="character" w:styleId="af0">
    <w:name w:val="FollowedHyperlink"/>
    <w:basedOn w:val="a1"/>
    <w:semiHidden/>
    <w:rsid w:val="00111D80"/>
    <w:rPr>
      <w:color w:val="800080"/>
      <w:u w:val="single"/>
    </w:rPr>
  </w:style>
  <w:style w:type="paragraph" w:customStyle="1" w:styleId="Default">
    <w:name w:val="Default"/>
    <w:rsid w:val="00B86F5C"/>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tiff"/><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image" Target="media/image9.w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image" Target="media/image24.wmf"/><Relationship Id="rId50" Type="http://schemas.openxmlformats.org/officeDocument/2006/relationships/oleObject" Target="embeddings/oleObject18.bin"/><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png"/><Relationship Id="rId29" Type="http://schemas.openxmlformats.org/officeDocument/2006/relationships/image" Target="media/image13.wmf"/><Relationship Id="rId41" Type="http://schemas.openxmlformats.org/officeDocument/2006/relationships/image" Target="media/image20.wmf"/><Relationship Id="rId54" Type="http://schemas.openxmlformats.org/officeDocument/2006/relationships/image" Target="media/image28.png"/><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oleObject" Target="embeddings/oleObject13.bin"/><Relationship Id="rId40" Type="http://schemas.openxmlformats.org/officeDocument/2006/relationships/image" Target="media/image19.png"/><Relationship Id="rId45" Type="http://schemas.openxmlformats.org/officeDocument/2006/relationships/image" Target="media/image22.png"/><Relationship Id="rId53" Type="http://schemas.openxmlformats.org/officeDocument/2006/relationships/image" Target="media/image27.emf"/><Relationship Id="rId58" Type="http://schemas.openxmlformats.org/officeDocument/2006/relationships/image" Target="media/image31.tif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wmf"/><Relationship Id="rId28" Type="http://schemas.openxmlformats.org/officeDocument/2006/relationships/oleObject" Target="embeddings/oleObject9.bin"/><Relationship Id="rId36" Type="http://schemas.openxmlformats.org/officeDocument/2006/relationships/image" Target="media/image17.wmf"/><Relationship Id="rId49" Type="http://schemas.openxmlformats.org/officeDocument/2006/relationships/image" Target="media/image25.wmf"/><Relationship Id="rId57" Type="http://schemas.openxmlformats.org/officeDocument/2006/relationships/oleObject" Target="embeddings/oleObject20.bin"/><Relationship Id="rId61"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6.bin"/><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oleObject" Target="embeddings/oleObject17.bin"/><Relationship Id="rId56"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emf"/><Relationship Id="rId59"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CC6E288B7C04EE18558DD5AA0470047"/>
        <w:category>
          <w:name w:val="عام"/>
          <w:gallery w:val="placeholder"/>
        </w:category>
        <w:types>
          <w:type w:val="bbPlcHdr"/>
        </w:types>
        <w:behaviors>
          <w:behavior w:val="content"/>
        </w:behaviors>
        <w:guid w:val="{FE7B7CD6-335B-4C19-99DE-CD19CDD259DC}"/>
      </w:docPartPr>
      <w:docPartBody>
        <w:p w:rsidR="00411B87" w:rsidRDefault="00411B87" w:rsidP="00411B87">
          <w:pPr>
            <w:pStyle w:val="0CC6E288B7C04EE18558DD5AA0470047"/>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B2"/>
    <w:family w:val="swiss"/>
    <w:notTrueType/>
    <w:pitch w:val="variable"/>
    <w:sig w:usb0="00002001" w:usb1="00000000" w:usb2="00000000"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411B87"/>
    <w:rsid w:val="0016002A"/>
    <w:rsid w:val="00232440"/>
    <w:rsid w:val="002A1AC7"/>
    <w:rsid w:val="00397CE3"/>
    <w:rsid w:val="00411B87"/>
    <w:rsid w:val="004B3571"/>
    <w:rsid w:val="004C042D"/>
    <w:rsid w:val="005A4F04"/>
    <w:rsid w:val="005E04F0"/>
    <w:rsid w:val="00734C98"/>
    <w:rsid w:val="007879D6"/>
    <w:rsid w:val="007A16B8"/>
    <w:rsid w:val="007B7B66"/>
    <w:rsid w:val="00912DEA"/>
    <w:rsid w:val="00AD298B"/>
    <w:rsid w:val="00BC06C0"/>
    <w:rsid w:val="00C1267D"/>
    <w:rsid w:val="00C1537A"/>
    <w:rsid w:val="00E43A5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042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CC6E288B7C04EE18558DD5AA0470047">
    <w:name w:val="0CC6E288B7C04EE18558DD5AA0470047"/>
    <w:rsid w:val="00411B8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E367E4-35FA-4305-8D20-801FA2081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18</Pages>
  <Words>3885</Words>
  <Characters>21369</Characters>
  <Application>Microsoft Office Word</Application>
  <DocSecurity>0</DocSecurity>
  <Lines>178</Lines>
  <Paragraphs>50</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II                                                                                                                                       Propriétés fondamentales des matériaux Cu(In,Ga)Se2</vt:lpstr>
      <vt:lpstr>Chapitre II                                                                                                                                       Propriétés fondamentales des matériaux Cu(In,Ga)Se2</vt:lpstr>
    </vt:vector>
  </TitlesOfParts>
  <Company/>
  <LinksUpToDate>false</LinksUpToDate>
  <CharactersWithSpaces>25204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Propriétés fondamentales des matériaux Cu(In,Ga)Se2</dc:title>
  <dc:subject/>
  <dc:creator>Idris</dc:creator>
  <cp:keywords/>
  <dc:description/>
  <cp:lastModifiedBy>leila</cp:lastModifiedBy>
  <cp:revision>9</cp:revision>
  <dcterms:created xsi:type="dcterms:W3CDTF">2012-05-27T10:51:00Z</dcterms:created>
  <dcterms:modified xsi:type="dcterms:W3CDTF">2009-06-08T14:46:00Z</dcterms:modified>
</cp:coreProperties>
</file>